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060" w:type="dxa"/>
        <w:jc w:val="center"/>
        <w:tbl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136"/>
        <w:gridCol w:w="4117"/>
      </w:tblGrid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0" w:type="dxa"/>
            <w:gridSpan w:val="3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7BA0CD" w:sz="8" w:space="0"/>
            </w:tcBorders>
            <w:shd w:val="clear" w:color="auto" w:fill="4F81BD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Chinese 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Language </w:t>
            </w:r>
            <w:r>
              <w:rPr>
                <w:rFonts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Program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学 院Schools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Major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807" w:type="dxa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国际教育学院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International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Education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汉语语言（进修生）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Chinese Language ( Non-degree Program)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0" w:type="dxa"/>
            <w:gridSpan w:val="3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7BA0CD" w:sz="8" w:space="0"/>
            </w:tcBorders>
            <w:shd w:val="clear" w:color="auto" w:fill="4F81BD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Bachelor </w:t>
            </w:r>
            <w:r>
              <w:rPr>
                <w:rFonts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Program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学 院Schools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Major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农学院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Agriculture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设施园艺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Veterinary Medicine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动物医学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Facility Horticulture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现代畜牧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Modern Animal Husbandry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药学院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Pharmacy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制药工程技术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Pharmaceutical Engineering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中药学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Traditional Chinese Pharmacy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060" w:type="dxa"/>
            <w:gridSpan w:val="3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single" w:color="7BA0CD" w:sz="8" w:space="0"/>
            </w:tcBorders>
            <w:shd w:val="clear" w:color="auto" w:fill="4F81BD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Diploma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Programs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学 院Schools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Major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bookmarkStart w:id="0" w:name="_GoBack" w:colFirst="1" w:colLast="2"/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医学院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Medicine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临床医学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Clinical Medicine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医学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Medical Laboratory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康复治疗技术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Rehabilitation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医学影像技术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Medical Imaging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护理学院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Nursing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助产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Midwifery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老年保健与管理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Elderly Health Care and Management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婴幼儿托育服务与管理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75" w:beforeAutospacing="0" w:after="75" w:afterAutospacing="0" w:line="576" w:lineRule="auto"/>
              <w:ind w:left="0" w:leftChars="0" w:right="0" w:rightChars="0" w:firstLine="0" w:firstLineChars="0"/>
              <w:jc w:val="both"/>
              <w:outlineLvl w:val="0"/>
              <w:rPr>
                <w:rFonts w:hint="eastAsia" w:ascii="Calibri" w:hAnsi="Calibri" w:eastAsia="宋体" w:cs="Times New Roman"/>
                <w:b/>
                <w:bCs/>
                <w:snapToGrid w:val="0"/>
                <w:color w:val="000000"/>
                <w:kern w:val="44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Child Care Service and Management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农学院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Agriculture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农产品加工与质量检测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Agricultural Products Processing and Detecting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茶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叶生产与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加工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Tea Plant Production and Tea Processing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设施农业与装备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Protected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eastAsia="zh-CN"/>
              </w:rPr>
              <w:t>Agriculture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 xml:space="preserve"> and Equipment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工学院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Engineering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建筑工程技术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Architectural Engineering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机电一体化技术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Mechatronics 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新能源材料应用技术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New Energy Material Application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环境工程技术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Environmental Engineering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新能源汽车技术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New Energy Vehicle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药学院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Pharmacy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药学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Pharmacy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中药学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Traditional Chinese Pharmacy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药品生产技术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Production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 of 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Medicine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信息工程学院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Computer Science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计算机网络技术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Computer Networking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人工智能技术应用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Artificial Intelligence Technology Application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大数据技术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Big Data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物联网应用技术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  <w:t>IoT Application Technology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restart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经管学院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Economy School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大数据与</w:t>
            </w:r>
            <w:r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会计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 xml:space="preserve">Big Data and </w:t>
            </w:r>
            <w:r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Accounting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电子商务 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E-commerce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vMerge w:val="continue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现代农业经济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管理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val="en-US" w:eastAsia="zh-CN"/>
              </w:rPr>
              <w:t>Modern Agricultural Economic</w:t>
            </w: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 xml:space="preserve"> Management</w:t>
            </w:r>
          </w:p>
        </w:tc>
      </w:tr>
      <w:bookmarkEnd w:id="0"/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07" w:type="dxa"/>
            <w:tcBorders>
              <w:right w:val="nil"/>
            </w:tcBorders>
            <w:shd w:val="clear" w:color="auto" w:fill="C7DAF1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人文学院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ascii="Calibri" w:hAnsi="Calibri" w:eastAsia="宋体" w:cs="Times New Roman"/>
                <w:b w:val="0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School of Humanities</w:t>
            </w:r>
          </w:p>
        </w:tc>
        <w:tc>
          <w:tcPr>
            <w:tcW w:w="2136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旅游管理</w:t>
            </w:r>
          </w:p>
        </w:tc>
        <w:tc>
          <w:tcPr>
            <w:tcW w:w="4117" w:type="dxa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Cs/>
                <w:snapToGrid/>
                <w:color w:val="000000"/>
                <w:kern w:val="2"/>
                <w:sz w:val="21"/>
                <w:szCs w:val="21"/>
                <w:lang w:eastAsia="zh-CN"/>
              </w:rPr>
              <w:t>Tourism Management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mNmMDhhODhhNmMxZjcwZmY0MWIwZDE5YzVhZGYifQ=="/>
  </w:docVars>
  <w:rsids>
    <w:rsidRoot w:val="286910C0"/>
    <w:rsid w:val="286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中等深浅底纹 1 - 强调文字颜色 11"/>
    <w:basedOn w:val="2"/>
    <w:autoRedefine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2026-03-02T02:27:00Z</dcterms:created>
  <dc:creator>龙天娇</dc:creator>
  <cp:lastModifiedBy>龙天娇</cp:lastModifiedBy>
  <dcterms:modified xsi:type="dcterms:W3CDTF">2026-03-02T02:31:36Z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B34C90E5D64545A5B29963B569153A8C_11</vt:lpwstr>
  </property>
</Properties>
</file>