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7B3F1">
      <w:pPr>
        <w:spacing w:line="560" w:lineRule="exact"/>
        <w:jc w:val="center"/>
        <w:rPr>
          <w:rFonts w:hint="eastAsia" w:ascii="方正小标宋简体" w:hAnsi="方正小标宋简体" w:eastAsia="方正小标宋简体"/>
          <w:bCs/>
          <w:sz w:val="44"/>
          <w:szCs w:val="44"/>
          <w:lang w:eastAsia="zh-CN"/>
        </w:rPr>
      </w:pPr>
      <w:r>
        <w:rPr>
          <w:rFonts w:hint="eastAsia" w:ascii="方正小标宋简体" w:hAnsi="方正小标宋简体" w:eastAsia="方正小标宋简体"/>
          <w:bCs/>
          <w:sz w:val="44"/>
          <w:szCs w:val="44"/>
          <w:lang w:eastAsia="zh-CN"/>
        </w:rPr>
        <w:t>铜仁职业技术大学</w:t>
      </w:r>
    </w:p>
    <w:p w14:paraId="7D861967">
      <w:pPr>
        <w:spacing w:line="560" w:lineRule="exact"/>
        <w:jc w:val="center"/>
        <w:rPr>
          <w:rFonts w:hint="eastAsia" w:ascii="方正小标宋简体" w:hAnsi="方正小标宋简体" w:eastAsia="方正小标宋简体"/>
          <w:bCs/>
          <w:sz w:val="44"/>
          <w:szCs w:val="44"/>
          <w:lang w:eastAsia="zh-CN"/>
        </w:rPr>
      </w:pPr>
      <w:r>
        <w:rPr>
          <w:rFonts w:hint="eastAsia" w:ascii="方正小标宋简体" w:hAnsi="方正小标宋简体" w:eastAsia="方正小标宋简体"/>
          <w:bCs/>
          <w:sz w:val="44"/>
          <w:szCs w:val="44"/>
          <w:lang w:eastAsia="zh-CN"/>
        </w:rPr>
        <w:t>2025</w:t>
      </w:r>
      <w:r>
        <w:rPr>
          <w:rFonts w:hint="eastAsia" w:ascii="方正小标宋简体" w:hAnsi="方正小标宋简体" w:eastAsia="方正小标宋简体"/>
          <w:bCs/>
          <w:sz w:val="44"/>
          <w:szCs w:val="44"/>
        </w:rPr>
        <w:t>年</w:t>
      </w:r>
      <w:r>
        <w:rPr>
          <w:rFonts w:hint="eastAsia" w:ascii="方正小标宋简体" w:hAnsi="方正小标宋简体" w:eastAsia="方正小标宋简体"/>
          <w:bCs/>
          <w:sz w:val="44"/>
          <w:szCs w:val="44"/>
          <w:lang w:eastAsia="zh-CN"/>
        </w:rPr>
        <w:t>普通</w:t>
      </w:r>
      <w:r>
        <w:rPr>
          <w:rFonts w:hint="eastAsia" w:ascii="方正小标宋简体" w:hAnsi="方正小标宋简体" w:eastAsia="方正小标宋简体"/>
          <w:bCs/>
          <w:sz w:val="44"/>
          <w:szCs w:val="44"/>
        </w:rPr>
        <w:t>高考招生章程</w:t>
      </w:r>
    </w:p>
    <w:p w14:paraId="3716A531">
      <w:pPr>
        <w:spacing w:line="560" w:lineRule="exact"/>
        <w:jc w:val="center"/>
        <w:rPr>
          <w:rFonts w:hint="eastAsia" w:ascii="黑体" w:hAnsi="黑体" w:eastAsia="黑体"/>
          <w:b/>
          <w:sz w:val="32"/>
          <w:szCs w:val="32"/>
        </w:rPr>
      </w:pPr>
    </w:p>
    <w:p w14:paraId="35E0AAC9">
      <w:pPr>
        <w:spacing w:line="560" w:lineRule="exact"/>
        <w:jc w:val="center"/>
        <w:rPr>
          <w:rFonts w:hint="eastAsia" w:ascii="黑体" w:hAnsi="黑体" w:eastAsia="黑体"/>
          <w:sz w:val="32"/>
          <w:szCs w:val="32"/>
        </w:rPr>
      </w:pPr>
      <w:r>
        <w:rPr>
          <w:rFonts w:hint="eastAsia" w:ascii="黑体" w:hAnsi="黑体" w:eastAsia="黑体"/>
          <w:sz w:val="32"/>
          <w:szCs w:val="32"/>
        </w:rPr>
        <w:t>第一章 总则</w:t>
      </w:r>
    </w:p>
    <w:p w14:paraId="6FFDF8C6">
      <w:pPr>
        <w:spacing w:line="560" w:lineRule="exact"/>
        <w:ind w:firstLine="643" w:firstLineChars="200"/>
        <w:rPr>
          <w:rFonts w:hint="eastAsia" w:ascii="楷体_GB2312" w:hAnsi="楷体_GB2312" w:eastAsia="楷体_GB2312"/>
          <w:b/>
          <w:bCs/>
          <w:sz w:val="32"/>
          <w:szCs w:val="32"/>
        </w:rPr>
      </w:pPr>
      <w:r>
        <w:rPr>
          <w:rFonts w:hint="eastAsia" w:ascii="楷体_GB2312" w:hAnsi="楷体_GB2312" w:eastAsia="楷体_GB2312"/>
          <w:b/>
          <w:bCs/>
          <w:sz w:val="32"/>
          <w:szCs w:val="32"/>
        </w:rPr>
        <w:t>第一条</w:t>
      </w:r>
      <w:r>
        <w:rPr>
          <w:rFonts w:hint="eastAsia" w:ascii="仿宋_GB2312" w:hAnsi="仿宋_GB2312" w:eastAsia="仿宋_GB2312"/>
          <w:sz w:val="32"/>
          <w:szCs w:val="32"/>
        </w:rPr>
        <w:t xml:space="preserve"> 为进一步贯彻依法治校，实施“阳光招生”，保证学院招生工作顺利进行，切实维护学院和考生的合法权益，根据</w:t>
      </w:r>
      <w:r>
        <w:rPr>
          <w:rFonts w:hint="eastAsia" w:ascii="仿宋_GB2312" w:hAnsi="仿宋_GB2312" w:eastAsia="仿宋_GB2312"/>
          <w:color w:val="000000"/>
          <w:sz w:val="32"/>
          <w:szCs w:val="32"/>
        </w:rPr>
        <w:t>《中华人民共和国教育法》《中华人民共和国高等教育法》及教育部、贵州省相关</w:t>
      </w:r>
      <w:r>
        <w:rPr>
          <w:rFonts w:hint="eastAsia" w:ascii="仿宋_GB2312" w:hAnsi="仿宋_GB2312" w:eastAsia="仿宋_GB2312"/>
          <w:sz w:val="32"/>
          <w:szCs w:val="32"/>
        </w:rPr>
        <w:t>规定，结合学院实际情况，特制定本章程。</w:t>
      </w:r>
    </w:p>
    <w:p w14:paraId="77E3D2CF">
      <w:pPr>
        <w:spacing w:line="560" w:lineRule="exact"/>
        <w:ind w:firstLine="643" w:firstLineChars="200"/>
        <w:rPr>
          <w:rFonts w:hint="eastAsia" w:ascii="楷体_GB2312" w:hAnsi="楷体_GB2312" w:eastAsia="楷体_GB2312"/>
          <w:b/>
          <w:bCs/>
          <w:sz w:val="32"/>
          <w:szCs w:val="32"/>
        </w:rPr>
      </w:pPr>
      <w:r>
        <w:rPr>
          <w:rFonts w:hint="eastAsia" w:ascii="楷体_GB2312" w:hAnsi="楷体_GB2312" w:eastAsia="楷体_GB2312"/>
          <w:b/>
          <w:bCs/>
          <w:sz w:val="32"/>
          <w:szCs w:val="32"/>
        </w:rPr>
        <w:t>第二条</w:t>
      </w:r>
      <w:r>
        <w:rPr>
          <w:rFonts w:hint="eastAsia" w:ascii="仿宋_GB2312" w:hAnsi="仿宋_GB2312" w:eastAsia="仿宋_GB2312"/>
          <w:sz w:val="32"/>
          <w:szCs w:val="32"/>
        </w:rPr>
        <w:t xml:space="preserve"> 本章程适用于铜仁职业技术</w:t>
      </w:r>
      <w:r>
        <w:rPr>
          <w:rFonts w:hint="eastAsia" w:ascii="仿宋_GB2312" w:hAnsi="仿宋_GB2312" w:eastAsia="仿宋_GB2312"/>
          <w:sz w:val="32"/>
          <w:szCs w:val="32"/>
          <w:lang w:val="en-US" w:eastAsia="zh-CN"/>
        </w:rPr>
        <w:t>大学</w:t>
      </w:r>
      <w:r>
        <w:rPr>
          <w:rFonts w:hint="eastAsia" w:ascii="仿宋_GB2312" w:hAnsi="仿宋_GB2312" w:eastAsia="仿宋_GB2312"/>
          <w:sz w:val="32"/>
          <w:szCs w:val="32"/>
          <w:lang w:eastAsia="zh-CN"/>
        </w:rPr>
        <w:t>2025</w:t>
      </w:r>
      <w:r>
        <w:rPr>
          <w:rFonts w:hint="eastAsia" w:ascii="仿宋_GB2312" w:hAnsi="仿宋_GB2312" w:eastAsia="仿宋_GB2312"/>
          <w:sz w:val="32"/>
          <w:szCs w:val="32"/>
        </w:rPr>
        <w:t>年普通</w:t>
      </w:r>
      <w:r>
        <w:rPr>
          <w:rFonts w:hint="eastAsia" w:ascii="仿宋_GB2312" w:hAnsi="仿宋_GB2312" w:eastAsia="仿宋_GB2312"/>
          <w:sz w:val="32"/>
          <w:szCs w:val="32"/>
          <w:lang w:val="en-US" w:eastAsia="zh-CN"/>
        </w:rPr>
        <w:t>本科、高职</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专科</w:t>
      </w:r>
      <w:r>
        <w:rPr>
          <w:rFonts w:hint="eastAsia" w:ascii="仿宋_GB2312" w:hAnsi="仿宋_GB2312" w:eastAsia="仿宋_GB2312"/>
          <w:sz w:val="32"/>
          <w:szCs w:val="32"/>
        </w:rPr>
        <w:t>）招生工作。</w:t>
      </w:r>
    </w:p>
    <w:p w14:paraId="533E4865">
      <w:pPr>
        <w:spacing w:before="218" w:line="560" w:lineRule="exact"/>
        <w:jc w:val="center"/>
        <w:rPr>
          <w:rFonts w:hint="eastAsia" w:ascii="黑体" w:hAnsi="黑体" w:eastAsia="黑体"/>
          <w:sz w:val="32"/>
          <w:szCs w:val="32"/>
        </w:rPr>
      </w:pPr>
      <w:r>
        <w:rPr>
          <w:rFonts w:hint="eastAsia" w:ascii="黑体" w:hAnsi="黑体" w:eastAsia="黑体"/>
          <w:sz w:val="32"/>
          <w:szCs w:val="32"/>
        </w:rPr>
        <w:t>第二章 学院概况</w:t>
      </w:r>
    </w:p>
    <w:p w14:paraId="77E8C3F1">
      <w:pPr>
        <w:pStyle w:val="12"/>
        <w:shd w:val="clear" w:color="auto" w:fill="FFFFFF"/>
        <w:spacing w:beforeAutospacing="0" w:afterAutospacing="0" w:line="560" w:lineRule="exact"/>
        <w:ind w:firstLine="643" w:firstLineChars="200"/>
        <w:jc w:val="both"/>
        <w:rPr>
          <w:rFonts w:hint="eastAsia" w:ascii="仿宋_GB2312" w:hAnsi="仿宋_GB2312" w:eastAsia="仿宋_GB2312"/>
          <w:kern w:val="2"/>
          <w:sz w:val="32"/>
          <w:szCs w:val="32"/>
          <w:lang w:eastAsia="zh-CN"/>
        </w:rPr>
      </w:pPr>
      <w:r>
        <w:rPr>
          <w:rFonts w:hint="eastAsia" w:ascii="楷体_GB2312" w:hAnsi="楷体_GB2312" w:eastAsia="楷体_GB2312"/>
          <w:b/>
          <w:bCs/>
          <w:kern w:val="2"/>
          <w:sz w:val="32"/>
          <w:szCs w:val="32"/>
        </w:rPr>
        <w:t>第三条</w:t>
      </w:r>
      <w:r>
        <w:rPr>
          <w:rFonts w:hint="eastAsia" w:ascii="仿宋" w:hAnsi="仿宋" w:eastAsia="仿宋"/>
          <w:b/>
          <w:sz w:val="32"/>
          <w:szCs w:val="32"/>
        </w:rPr>
        <w:t xml:space="preserve"> </w:t>
      </w:r>
      <w:r>
        <w:rPr>
          <w:rFonts w:hint="eastAsia" w:ascii="仿宋_GB2312" w:hAnsi="仿宋_GB2312" w:eastAsia="仿宋_GB2312"/>
          <w:kern w:val="2"/>
          <w:sz w:val="32"/>
          <w:szCs w:val="32"/>
        </w:rPr>
        <w:t>学院全称：</w:t>
      </w:r>
      <w:r>
        <w:rPr>
          <w:rFonts w:hint="eastAsia" w:ascii="仿宋_GB2312" w:hAnsi="仿宋_GB2312" w:eastAsia="仿宋_GB2312"/>
          <w:kern w:val="2"/>
          <w:sz w:val="32"/>
          <w:szCs w:val="32"/>
          <w:lang w:eastAsia="zh-CN"/>
        </w:rPr>
        <w:t>铜仁职业技术大学</w:t>
      </w:r>
    </w:p>
    <w:p w14:paraId="78289D3C">
      <w:pPr>
        <w:pStyle w:val="12"/>
        <w:shd w:val="clear" w:color="auto" w:fill="FFFFFF"/>
        <w:spacing w:beforeAutospacing="0" w:afterAutospacing="0" w:line="560" w:lineRule="exact"/>
        <w:ind w:firstLine="643" w:firstLineChars="200"/>
        <w:jc w:val="both"/>
        <w:rPr>
          <w:rFonts w:hint="eastAsia" w:ascii="楷体_GB2312" w:hAnsi="楷体_GB2312" w:eastAsia="楷体_GB2312"/>
          <w:b/>
          <w:bCs/>
          <w:kern w:val="2"/>
          <w:sz w:val="32"/>
          <w:szCs w:val="32"/>
        </w:rPr>
      </w:pPr>
      <w:r>
        <w:rPr>
          <w:rFonts w:hint="eastAsia" w:ascii="楷体_GB2312" w:hAnsi="楷体_GB2312" w:eastAsia="楷体_GB2312"/>
          <w:b/>
          <w:bCs/>
          <w:kern w:val="2"/>
          <w:sz w:val="32"/>
          <w:szCs w:val="32"/>
        </w:rPr>
        <w:t xml:space="preserve">第四条 </w:t>
      </w:r>
      <w:r>
        <w:rPr>
          <w:rFonts w:hint="eastAsia" w:ascii="仿宋_GB2312" w:hAnsi="仿宋_GB2312" w:eastAsia="仿宋_GB2312"/>
          <w:sz w:val="32"/>
          <w:szCs w:val="32"/>
        </w:rPr>
        <w:t>学院代码：4152013055</w:t>
      </w:r>
    </w:p>
    <w:p w14:paraId="3A6AFCD9">
      <w:pPr>
        <w:pStyle w:val="12"/>
        <w:shd w:val="clear" w:color="auto" w:fill="FFFFFF"/>
        <w:spacing w:beforeAutospacing="0" w:afterAutospacing="0" w:line="560" w:lineRule="exact"/>
        <w:ind w:firstLine="643" w:firstLineChars="200"/>
        <w:jc w:val="both"/>
        <w:rPr>
          <w:rFonts w:hint="eastAsia" w:ascii="楷体_GB2312" w:hAnsi="楷体_GB2312" w:eastAsia="仿宋_GB2312"/>
          <w:b/>
          <w:bCs/>
          <w:kern w:val="2"/>
          <w:sz w:val="32"/>
          <w:szCs w:val="32"/>
          <w:lang w:val="en-US" w:eastAsia="zh-CN"/>
        </w:rPr>
      </w:pPr>
      <w:r>
        <w:rPr>
          <w:rFonts w:hint="eastAsia" w:ascii="楷体_GB2312" w:hAnsi="楷体_GB2312" w:eastAsia="楷体_GB2312"/>
          <w:b/>
          <w:bCs/>
          <w:kern w:val="2"/>
          <w:sz w:val="32"/>
          <w:szCs w:val="32"/>
        </w:rPr>
        <w:t xml:space="preserve">第五条 </w:t>
      </w:r>
      <w:r>
        <w:rPr>
          <w:rFonts w:hint="eastAsia" w:ascii="仿宋_GB2312" w:hAnsi="仿宋_GB2312" w:eastAsia="仿宋_GB2312"/>
          <w:kern w:val="2"/>
          <w:sz w:val="32"/>
          <w:szCs w:val="32"/>
        </w:rPr>
        <w:t>办学层次：</w:t>
      </w:r>
      <w:r>
        <w:rPr>
          <w:rFonts w:hint="eastAsia" w:ascii="仿宋_GB2312" w:hAnsi="仿宋_GB2312" w:eastAsia="仿宋_GB2312"/>
          <w:kern w:val="2"/>
          <w:sz w:val="32"/>
          <w:szCs w:val="32"/>
          <w:lang w:val="en-US" w:eastAsia="zh-CN"/>
        </w:rPr>
        <w:t>本科、</w:t>
      </w:r>
      <w:r>
        <w:rPr>
          <w:rFonts w:hint="eastAsia" w:ascii="仿宋_GB2312" w:hAnsi="仿宋_GB2312" w:eastAsia="仿宋_GB2312"/>
          <w:kern w:val="2"/>
          <w:sz w:val="32"/>
          <w:szCs w:val="32"/>
        </w:rPr>
        <w:t>专科</w:t>
      </w:r>
      <w:r>
        <w:rPr>
          <w:rFonts w:hint="eastAsia" w:ascii="仿宋_GB2312" w:hAnsi="仿宋_GB2312" w:eastAsia="仿宋_GB2312"/>
          <w:kern w:val="2"/>
          <w:sz w:val="32"/>
          <w:szCs w:val="32"/>
          <w:lang w:val="en-US" w:eastAsia="zh-CN"/>
        </w:rPr>
        <w:t xml:space="preserve"> </w:t>
      </w:r>
    </w:p>
    <w:p w14:paraId="0CFF1FAE">
      <w:pPr>
        <w:pStyle w:val="12"/>
        <w:shd w:val="clear" w:color="auto" w:fill="FFFFFF"/>
        <w:spacing w:beforeAutospacing="0" w:afterAutospacing="0" w:line="560" w:lineRule="exact"/>
        <w:ind w:firstLine="643" w:firstLineChars="200"/>
        <w:jc w:val="both"/>
        <w:rPr>
          <w:rFonts w:hint="eastAsia" w:ascii="楷体_GB2312" w:hAnsi="楷体_GB2312" w:eastAsia="楷体_GB2312"/>
          <w:b/>
          <w:bCs/>
          <w:kern w:val="2"/>
          <w:sz w:val="32"/>
          <w:szCs w:val="32"/>
        </w:rPr>
      </w:pPr>
      <w:r>
        <w:rPr>
          <w:rFonts w:hint="eastAsia" w:ascii="楷体_GB2312" w:hAnsi="楷体_GB2312" w:eastAsia="楷体_GB2312"/>
          <w:b/>
          <w:bCs/>
          <w:kern w:val="2"/>
          <w:sz w:val="32"/>
          <w:szCs w:val="32"/>
        </w:rPr>
        <w:t xml:space="preserve">第六条 </w:t>
      </w:r>
      <w:r>
        <w:rPr>
          <w:rFonts w:hint="eastAsia" w:ascii="仿宋_GB2312" w:hAnsi="仿宋_GB2312" w:eastAsia="仿宋_GB2312"/>
          <w:kern w:val="2"/>
          <w:sz w:val="32"/>
          <w:szCs w:val="32"/>
        </w:rPr>
        <w:t>办学类型：普通高等教育</w:t>
      </w:r>
    </w:p>
    <w:p w14:paraId="637AD575">
      <w:pPr>
        <w:pStyle w:val="12"/>
        <w:shd w:val="clear" w:color="auto" w:fill="FFFFFF"/>
        <w:spacing w:beforeAutospacing="0" w:afterAutospacing="0" w:line="560" w:lineRule="exact"/>
        <w:ind w:firstLine="643" w:firstLineChars="200"/>
        <w:jc w:val="both"/>
        <w:rPr>
          <w:rFonts w:hint="eastAsia" w:ascii="楷体_GB2312" w:hAnsi="楷体_GB2312" w:eastAsia="楷体_GB2312"/>
          <w:b/>
          <w:bCs/>
          <w:kern w:val="2"/>
          <w:sz w:val="32"/>
          <w:szCs w:val="32"/>
        </w:rPr>
      </w:pPr>
      <w:r>
        <w:rPr>
          <w:rFonts w:hint="eastAsia" w:ascii="楷体_GB2312" w:hAnsi="楷体_GB2312" w:eastAsia="楷体_GB2312"/>
          <w:b/>
          <w:bCs/>
          <w:kern w:val="2"/>
          <w:sz w:val="32"/>
          <w:szCs w:val="32"/>
        </w:rPr>
        <w:t xml:space="preserve">第七条 </w:t>
      </w:r>
      <w:r>
        <w:rPr>
          <w:rFonts w:hint="eastAsia" w:ascii="仿宋_GB2312" w:hAnsi="仿宋_GB2312" w:eastAsia="仿宋_GB2312"/>
          <w:kern w:val="2"/>
          <w:sz w:val="32"/>
          <w:szCs w:val="32"/>
        </w:rPr>
        <w:t>学校性质：公办</w:t>
      </w:r>
    </w:p>
    <w:p w14:paraId="588A88CA">
      <w:pPr>
        <w:pStyle w:val="12"/>
        <w:shd w:val="clear" w:color="auto" w:fill="FFFFFF"/>
        <w:spacing w:beforeAutospacing="0" w:afterAutospacing="0" w:line="560" w:lineRule="exact"/>
        <w:ind w:firstLine="643" w:firstLineChars="200"/>
        <w:jc w:val="both"/>
        <w:rPr>
          <w:rFonts w:hint="eastAsia" w:ascii="仿宋_GB2312" w:hAnsi="仿宋_GB2312" w:eastAsia="仿宋_GB2312"/>
          <w:sz w:val="32"/>
          <w:szCs w:val="32"/>
        </w:rPr>
      </w:pPr>
      <w:r>
        <w:rPr>
          <w:rFonts w:hint="eastAsia" w:ascii="楷体_GB2312" w:hAnsi="楷体_GB2312" w:eastAsia="楷体_GB2312"/>
          <w:b/>
          <w:bCs/>
          <w:kern w:val="2"/>
          <w:sz w:val="32"/>
          <w:szCs w:val="32"/>
        </w:rPr>
        <w:t>第八条</w:t>
      </w:r>
      <w:r>
        <w:rPr>
          <w:rFonts w:hint="eastAsia" w:ascii="仿宋_GB2312" w:hAnsi="仿宋_GB2312" w:eastAsia="仿宋_GB2312"/>
          <w:sz w:val="32"/>
          <w:szCs w:val="32"/>
        </w:rPr>
        <w:t xml:space="preserve"> 地    址：</w:t>
      </w:r>
    </w:p>
    <w:p w14:paraId="30BEB923">
      <w:pPr>
        <w:pStyle w:val="12"/>
        <w:shd w:val="clear" w:color="auto" w:fill="FFFFFF"/>
        <w:spacing w:beforeAutospacing="0" w:afterAutospacing="0" w:line="560" w:lineRule="exact"/>
        <w:ind w:firstLine="640" w:firstLineChars="200"/>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教育园区校区：铜仁市碧江区自由路2号</w:t>
      </w:r>
    </w:p>
    <w:p w14:paraId="1D9AC8D7">
      <w:pPr>
        <w:pStyle w:val="12"/>
        <w:shd w:val="clear" w:color="auto" w:fill="FFFFFF"/>
        <w:spacing w:beforeAutospacing="0" w:afterAutospacing="0" w:line="560" w:lineRule="exact"/>
        <w:ind w:firstLine="640" w:firstLineChars="200"/>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木秀坪校区：贵州省铜仁市碧江区桃园大道200号</w:t>
      </w:r>
    </w:p>
    <w:p w14:paraId="15917960">
      <w:pPr>
        <w:pStyle w:val="12"/>
        <w:shd w:val="clear" w:color="auto" w:fill="FFFFFF"/>
        <w:spacing w:beforeAutospacing="0" w:afterAutospacing="0" w:line="560" w:lineRule="exact"/>
        <w:ind w:firstLine="640" w:firstLineChars="200"/>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高新区校区：贵州省铜仁高新技术产业开发区</w:t>
      </w:r>
    </w:p>
    <w:p w14:paraId="14C19273">
      <w:pPr>
        <w:pStyle w:val="12"/>
        <w:shd w:val="clear" w:color="auto" w:fill="FFFFFF"/>
        <w:spacing w:beforeAutospacing="0" w:afterAutospacing="0" w:line="560" w:lineRule="exact"/>
        <w:ind w:firstLine="643" w:firstLineChars="200"/>
        <w:jc w:val="both"/>
        <w:rPr>
          <w:rFonts w:hint="eastAsia" w:ascii="楷体_GB2312" w:hAnsi="楷体_GB2312" w:eastAsia="楷体_GB2312"/>
          <w:b/>
          <w:bCs/>
          <w:kern w:val="2"/>
          <w:sz w:val="32"/>
          <w:szCs w:val="32"/>
        </w:rPr>
      </w:pPr>
      <w:r>
        <w:rPr>
          <w:rFonts w:hint="eastAsia" w:ascii="楷体_GB2312" w:hAnsi="楷体_GB2312" w:eastAsia="楷体_GB2312"/>
          <w:b/>
          <w:bCs/>
          <w:kern w:val="2"/>
          <w:sz w:val="32"/>
          <w:szCs w:val="32"/>
        </w:rPr>
        <w:t>第九条</w:t>
      </w:r>
      <w:r>
        <w:rPr>
          <w:rFonts w:hint="eastAsia" w:ascii="仿宋_GB2312" w:hAnsi="仿宋_GB2312" w:eastAsia="仿宋_GB2312"/>
          <w:sz w:val="32"/>
          <w:szCs w:val="32"/>
        </w:rPr>
        <w:t xml:space="preserve"> 学院网址：</w:t>
      </w:r>
      <w:r>
        <w:rPr>
          <w:rFonts w:hint="eastAsia" w:ascii="仿宋_GB2312" w:hAnsi="仿宋_GB2312" w:eastAsia="仿宋_GB2312"/>
          <w:sz w:val="32"/>
          <w:szCs w:val="32"/>
        </w:rPr>
        <w:fldChar w:fldCharType="begin"/>
      </w:r>
      <w:r>
        <w:rPr>
          <w:rFonts w:hint="eastAsia" w:ascii="仿宋_GB2312" w:hAnsi="仿宋_GB2312" w:eastAsia="仿宋_GB2312"/>
          <w:sz w:val="32"/>
          <w:szCs w:val="32"/>
        </w:rPr>
        <w:instrText xml:space="preserve"> HYPERLINK "http://www.trzy.edu.cn/" </w:instrText>
      </w:r>
      <w:r>
        <w:rPr>
          <w:rFonts w:hint="eastAsia" w:ascii="仿宋_GB2312" w:hAnsi="仿宋_GB2312" w:eastAsia="仿宋_GB2312"/>
          <w:sz w:val="32"/>
          <w:szCs w:val="32"/>
        </w:rPr>
        <w:fldChar w:fldCharType="separate"/>
      </w:r>
      <w:r>
        <w:rPr>
          <w:rFonts w:hint="eastAsia" w:ascii="仿宋_GB2312" w:hAnsi="仿宋_GB2312" w:eastAsia="仿宋_GB2312"/>
          <w:sz w:val="32"/>
          <w:szCs w:val="32"/>
        </w:rPr>
        <w:t>http://www.trzy.edu.cn/</w:t>
      </w:r>
      <w:r>
        <w:rPr>
          <w:rFonts w:hint="eastAsia" w:ascii="仿宋_GB2312" w:hAnsi="仿宋_GB2312" w:eastAsia="仿宋_GB2312"/>
          <w:sz w:val="32"/>
          <w:szCs w:val="32"/>
        </w:rPr>
        <w:fldChar w:fldCharType="end"/>
      </w:r>
    </w:p>
    <w:p w14:paraId="4EAAA614">
      <w:pPr>
        <w:spacing w:line="560" w:lineRule="exact"/>
        <w:ind w:firstLine="643" w:firstLineChars="200"/>
        <w:rPr>
          <w:rFonts w:hint="eastAsia" w:ascii="仿宋_GB2312" w:hAnsi="仿宋_GB2312" w:eastAsia="仿宋_GB2312"/>
          <w:sz w:val="32"/>
          <w:szCs w:val="32"/>
        </w:rPr>
      </w:pPr>
      <w:r>
        <w:rPr>
          <w:rFonts w:hint="eastAsia" w:ascii="楷体_GB2312" w:hAnsi="楷体_GB2312" w:eastAsia="楷体_GB2312"/>
          <w:b/>
          <w:bCs/>
          <w:sz w:val="32"/>
          <w:szCs w:val="32"/>
        </w:rPr>
        <w:t>第十条</w:t>
      </w:r>
      <w:r>
        <w:rPr>
          <w:rFonts w:hint="eastAsia" w:ascii="仿宋_GB2312" w:hAnsi="仿宋_GB2312" w:eastAsia="仿宋_GB2312"/>
          <w:sz w:val="32"/>
          <w:szCs w:val="32"/>
        </w:rPr>
        <w:t xml:space="preserve"> 学校情况简介：</w:t>
      </w:r>
    </w:p>
    <w:p w14:paraId="15A54AD9">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铜仁职业技术</w:t>
      </w:r>
      <w:r>
        <w:rPr>
          <w:rFonts w:hint="eastAsia" w:ascii="仿宋_GB2312" w:hAnsi="仿宋_GB2312" w:eastAsia="仿宋_GB2312"/>
          <w:sz w:val="32"/>
          <w:szCs w:val="32"/>
          <w:lang w:val="en-US" w:eastAsia="zh-CN"/>
        </w:rPr>
        <w:t>大学是</w:t>
      </w:r>
      <w:r>
        <w:rPr>
          <w:rFonts w:hint="eastAsia" w:ascii="仿宋_GB2312" w:hAnsi="仿宋_GB2312" w:eastAsia="仿宋_GB2312"/>
          <w:sz w:val="32"/>
          <w:szCs w:val="32"/>
        </w:rPr>
        <w:t>一所公办全日制普通高等职业</w:t>
      </w:r>
      <w:r>
        <w:rPr>
          <w:rFonts w:hint="eastAsia" w:ascii="仿宋_GB2312" w:hAnsi="仿宋_GB2312" w:eastAsia="仿宋_GB2312"/>
          <w:sz w:val="32"/>
          <w:szCs w:val="32"/>
          <w:lang w:val="en-US" w:eastAsia="zh-CN"/>
        </w:rPr>
        <w:t>院校</w:t>
      </w:r>
      <w:r>
        <w:rPr>
          <w:rFonts w:hint="eastAsia" w:ascii="仿宋_GB2312" w:hAnsi="仿宋_GB2312" w:eastAsia="仿宋_GB2312"/>
          <w:sz w:val="32"/>
          <w:szCs w:val="32"/>
        </w:rPr>
        <w:t>，是国家民委与贵州省人民政府“委省共建”高校，是国家骨干高职院校、国家优质高职院校、国家“双高计划”立项建设单位、全国乡村振兴人才培养优质校。</w:t>
      </w:r>
    </w:p>
    <w:p w14:paraId="42963F87">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学院现有在编教职工共975人</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专任教师746人，高级职称352人，硕、博士478人</w:t>
      </w:r>
      <w:r>
        <w:rPr>
          <w:rFonts w:hint="eastAsia" w:ascii="仿宋_GB2312" w:hAnsi="仿宋_GB2312" w:eastAsia="仿宋_GB2312"/>
          <w:sz w:val="32"/>
          <w:szCs w:val="32"/>
          <w:lang w:eastAsia="zh-CN"/>
        </w:rPr>
        <w:t>、双师型教师402人</w:t>
      </w:r>
      <w:r>
        <w:rPr>
          <w:rFonts w:hint="eastAsia" w:ascii="仿宋_GB2312" w:hAnsi="仿宋_GB2312" w:eastAsia="仿宋_GB2312"/>
          <w:sz w:val="32"/>
          <w:szCs w:val="32"/>
        </w:rPr>
        <w:t>。学院设有农学院、药学院、医学院、护理学院、工学院、经济与管理学院、信息工程学院、人文学院、国际教育学院9个二级分院，开设</w:t>
      </w:r>
      <w:r>
        <w:rPr>
          <w:rFonts w:hint="eastAsia" w:ascii="仿宋_GB2312" w:hAnsi="仿宋_GB2312" w:eastAsia="仿宋_GB2312"/>
          <w:sz w:val="32"/>
          <w:szCs w:val="32"/>
          <w:lang w:val="en-US" w:eastAsia="zh-CN"/>
        </w:rPr>
        <w:t>高职</w:t>
      </w:r>
      <w:r>
        <w:rPr>
          <w:rFonts w:hint="eastAsia" w:ascii="仿宋_GB2312" w:hAnsi="仿宋_GB2312" w:eastAsia="仿宋_GB2312"/>
          <w:sz w:val="32"/>
          <w:szCs w:val="32"/>
        </w:rPr>
        <w:t>招生专业25个</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本科招生专业5个</w:t>
      </w:r>
      <w:r>
        <w:rPr>
          <w:rFonts w:hint="eastAsia" w:ascii="仿宋_GB2312" w:hAnsi="仿宋_GB2312" w:eastAsia="仿宋_GB2312"/>
          <w:sz w:val="32"/>
          <w:szCs w:val="32"/>
        </w:rPr>
        <w:t>。</w:t>
      </w:r>
    </w:p>
    <w:p w14:paraId="4DF9FBEC">
      <w:pPr>
        <w:spacing w:before="218" w:line="560" w:lineRule="exact"/>
        <w:jc w:val="center"/>
        <w:rPr>
          <w:rFonts w:hint="eastAsia" w:ascii="黑体" w:hAnsi="黑体" w:eastAsia="黑体"/>
          <w:sz w:val="32"/>
          <w:szCs w:val="32"/>
        </w:rPr>
      </w:pPr>
      <w:r>
        <w:rPr>
          <w:rFonts w:hint="eastAsia" w:ascii="黑体" w:hAnsi="黑体" w:eastAsia="黑体"/>
          <w:sz w:val="32"/>
          <w:szCs w:val="32"/>
        </w:rPr>
        <w:t>第三章 组织机构及职责</w:t>
      </w:r>
    </w:p>
    <w:p w14:paraId="01308E29">
      <w:pPr>
        <w:spacing w:line="560" w:lineRule="exact"/>
        <w:ind w:firstLine="643" w:firstLineChars="200"/>
        <w:rPr>
          <w:rFonts w:hint="eastAsia" w:ascii="楷体_GB2312" w:hAnsi="楷体_GB2312" w:eastAsia="楷体_GB2312"/>
          <w:b/>
          <w:bCs/>
          <w:sz w:val="32"/>
          <w:szCs w:val="32"/>
        </w:rPr>
      </w:pPr>
      <w:r>
        <w:rPr>
          <w:rFonts w:hint="eastAsia" w:ascii="楷体_GB2312" w:hAnsi="楷体_GB2312" w:eastAsia="楷体_GB2312"/>
          <w:b/>
          <w:bCs/>
          <w:sz w:val="32"/>
          <w:szCs w:val="32"/>
        </w:rPr>
        <w:t xml:space="preserve">第十一条 </w:t>
      </w:r>
      <w:r>
        <w:rPr>
          <w:rFonts w:hint="eastAsia" w:ascii="仿宋_GB2312" w:hAnsi="仿宋_GB2312" w:eastAsia="仿宋_GB2312"/>
          <w:sz w:val="32"/>
          <w:szCs w:val="32"/>
          <w:lang w:val="en-US" w:eastAsia="zh-CN"/>
        </w:rPr>
        <w:t>学校设立招生委员会全面负责贯彻执行教育部和贵州省教育高质量发展委员会有关高考招生的工作政策，负责制定招生章程、确定招生规模和调整专业招生计划等，领导、监督高考招生工作的具体实施，协调处理高考招生工作中的重大事项。</w:t>
      </w:r>
    </w:p>
    <w:p w14:paraId="0A691DFE">
      <w:pPr>
        <w:spacing w:line="560" w:lineRule="exact"/>
        <w:ind w:firstLine="643" w:firstLineChars="200"/>
        <w:rPr>
          <w:rFonts w:hint="eastAsia" w:ascii="楷体_GB2312" w:hAnsi="楷体_GB2312" w:eastAsia="楷体_GB2312"/>
          <w:b/>
          <w:bCs/>
          <w:sz w:val="32"/>
          <w:szCs w:val="32"/>
        </w:rPr>
      </w:pPr>
      <w:r>
        <w:rPr>
          <w:rFonts w:hint="eastAsia" w:ascii="楷体_GB2312" w:hAnsi="楷体_GB2312" w:eastAsia="楷体_GB2312"/>
          <w:b/>
          <w:bCs/>
          <w:sz w:val="32"/>
          <w:szCs w:val="32"/>
        </w:rPr>
        <w:t>第十二条</w:t>
      </w:r>
      <w:r>
        <w:rPr>
          <w:rFonts w:hint="eastAsia" w:ascii="仿宋_GB2312" w:hAnsi="仿宋_GB2312" w:eastAsia="仿宋_GB2312"/>
          <w:sz w:val="32"/>
          <w:szCs w:val="32"/>
        </w:rPr>
        <w:t xml:space="preserve"> 招生就业部为</w:t>
      </w:r>
      <w:r>
        <w:rPr>
          <w:rFonts w:hint="eastAsia" w:ascii="仿宋_GB2312" w:hAnsi="仿宋_GB2312" w:eastAsia="仿宋_GB2312"/>
          <w:sz w:val="32"/>
          <w:szCs w:val="32"/>
          <w:lang w:val="en-US" w:eastAsia="zh-CN"/>
        </w:rPr>
        <w:t>学校</w:t>
      </w:r>
      <w:r>
        <w:rPr>
          <w:rFonts w:hint="eastAsia" w:ascii="仿宋_GB2312" w:hAnsi="仿宋_GB2312" w:eastAsia="仿宋_GB2312"/>
          <w:sz w:val="32"/>
          <w:szCs w:val="32"/>
        </w:rPr>
        <w:t>招生工作委员会的执行机构，主要职责是根据学院的招生规定</w:t>
      </w:r>
      <w:r>
        <w:rPr>
          <w:rFonts w:hint="eastAsia" w:ascii="仿宋_GB2312" w:hAnsi="仿宋_GB2312" w:eastAsia="仿宋_GB2312"/>
          <w:sz w:val="32"/>
          <w:szCs w:val="32"/>
          <w:lang w:val="en-US" w:eastAsia="zh-CN"/>
        </w:rPr>
        <w:t>和实施细则</w:t>
      </w:r>
      <w:r>
        <w:rPr>
          <w:rFonts w:hint="eastAsia" w:ascii="仿宋_GB2312" w:hAnsi="仿宋_GB2312" w:eastAsia="仿宋_GB2312"/>
          <w:sz w:val="32"/>
          <w:szCs w:val="32"/>
        </w:rPr>
        <w:t>，编制招生计划、组织招生宣传和录取工作，处理招生的日常事务。</w:t>
      </w:r>
    </w:p>
    <w:p w14:paraId="64CD2EBE">
      <w:pPr>
        <w:spacing w:line="560" w:lineRule="exact"/>
        <w:ind w:firstLine="643" w:firstLineChars="200"/>
        <w:rPr>
          <w:rFonts w:hint="eastAsia" w:ascii="楷体_GB2312" w:hAnsi="楷体_GB2312" w:eastAsia="楷体_GB2312"/>
          <w:b/>
          <w:bCs/>
          <w:sz w:val="32"/>
          <w:szCs w:val="32"/>
        </w:rPr>
      </w:pPr>
      <w:r>
        <w:rPr>
          <w:rFonts w:hint="eastAsia" w:ascii="楷体_GB2312" w:hAnsi="楷体_GB2312" w:eastAsia="楷体_GB2312"/>
          <w:b/>
          <w:bCs/>
          <w:sz w:val="32"/>
          <w:szCs w:val="32"/>
        </w:rPr>
        <w:t>第十三条</w:t>
      </w:r>
      <w:r>
        <w:rPr>
          <w:rFonts w:hint="eastAsia" w:ascii="仿宋_GB2312" w:hAnsi="仿宋_GB2312" w:eastAsia="仿宋_GB2312"/>
          <w:sz w:val="32"/>
          <w:szCs w:val="32"/>
        </w:rPr>
        <w:t xml:space="preserve"> </w:t>
      </w:r>
      <w:r>
        <w:rPr>
          <w:rFonts w:hint="eastAsia" w:ascii="仿宋_GB2312" w:hAnsi="仿宋_GB2312" w:eastAsia="仿宋_GB2312"/>
          <w:sz w:val="32"/>
          <w:szCs w:val="32"/>
          <w:lang w:val="en-US" w:eastAsia="zh-CN"/>
        </w:rPr>
        <w:t>学校</w:t>
      </w:r>
      <w:r>
        <w:rPr>
          <w:rFonts w:hint="eastAsia" w:ascii="仿宋_GB2312" w:hAnsi="仿宋_GB2312" w:eastAsia="仿宋_GB2312"/>
          <w:sz w:val="32"/>
          <w:szCs w:val="32"/>
        </w:rPr>
        <w:t>设立由</w:t>
      </w:r>
      <w:r>
        <w:rPr>
          <w:rFonts w:hint="eastAsia" w:ascii="仿宋_GB2312" w:hAnsi="仿宋_GB2312" w:eastAsia="仿宋_GB2312"/>
          <w:sz w:val="32"/>
          <w:szCs w:val="32"/>
          <w:lang w:val="en-US" w:eastAsia="zh-CN"/>
        </w:rPr>
        <w:t>学校领导和</w:t>
      </w:r>
      <w:r>
        <w:rPr>
          <w:rFonts w:hint="eastAsia" w:ascii="仿宋_GB2312" w:hAnsi="仿宋_GB2312" w:eastAsia="仿宋_GB2312"/>
          <w:sz w:val="32"/>
          <w:szCs w:val="32"/>
        </w:rPr>
        <w:t>纪检监察</w:t>
      </w:r>
      <w:r>
        <w:rPr>
          <w:rFonts w:hint="eastAsia" w:ascii="仿宋_GB2312" w:hAnsi="仿宋_GB2312" w:eastAsia="仿宋_GB2312"/>
          <w:sz w:val="32"/>
          <w:szCs w:val="32"/>
          <w:lang w:val="en-US" w:eastAsia="zh-CN"/>
        </w:rPr>
        <w:t>部门组成</w:t>
      </w:r>
      <w:r>
        <w:rPr>
          <w:rFonts w:hint="eastAsia" w:ascii="仿宋_GB2312" w:hAnsi="仿宋_GB2312" w:eastAsia="仿宋_GB2312"/>
          <w:sz w:val="32"/>
          <w:szCs w:val="32"/>
        </w:rPr>
        <w:t>的招生监督</w:t>
      </w:r>
      <w:r>
        <w:rPr>
          <w:rFonts w:hint="eastAsia" w:ascii="仿宋_GB2312" w:hAnsi="仿宋_GB2312" w:eastAsia="仿宋_GB2312"/>
          <w:sz w:val="32"/>
          <w:szCs w:val="32"/>
          <w:lang w:val="en-US" w:eastAsia="zh-CN"/>
        </w:rPr>
        <w:t>小组</w:t>
      </w:r>
      <w:r>
        <w:rPr>
          <w:rFonts w:hint="eastAsia" w:ascii="仿宋_GB2312" w:hAnsi="仿宋_GB2312" w:eastAsia="仿宋_GB2312"/>
          <w:sz w:val="32"/>
          <w:szCs w:val="32"/>
        </w:rPr>
        <w:t>，对招生工作实施全程监督。在录取期间成立信访组，负责考生的信访、申诉、投诉处理工作。</w:t>
      </w:r>
    </w:p>
    <w:p w14:paraId="04A51198">
      <w:pPr>
        <w:spacing w:before="218" w:line="560" w:lineRule="exact"/>
        <w:jc w:val="center"/>
        <w:rPr>
          <w:rFonts w:hint="eastAsia" w:ascii="黑体" w:hAnsi="黑体" w:eastAsia="黑体"/>
          <w:sz w:val="32"/>
          <w:szCs w:val="32"/>
        </w:rPr>
      </w:pPr>
    </w:p>
    <w:p w14:paraId="2E6BA07F">
      <w:pPr>
        <w:spacing w:before="218" w:line="560" w:lineRule="exact"/>
        <w:jc w:val="center"/>
        <w:rPr>
          <w:rFonts w:hint="eastAsia" w:ascii="黑体" w:hAnsi="黑体" w:eastAsia="黑体"/>
          <w:sz w:val="32"/>
          <w:szCs w:val="32"/>
        </w:rPr>
      </w:pPr>
      <w:r>
        <w:rPr>
          <w:rFonts w:hint="eastAsia" w:ascii="黑体" w:hAnsi="黑体" w:eastAsia="黑体"/>
          <w:sz w:val="32"/>
          <w:szCs w:val="32"/>
        </w:rPr>
        <w:t>第四章 招生计划</w:t>
      </w:r>
    </w:p>
    <w:p w14:paraId="41EAA4A7">
      <w:pPr>
        <w:spacing w:line="560" w:lineRule="exact"/>
        <w:ind w:firstLine="643" w:firstLineChars="200"/>
        <w:rPr>
          <w:rFonts w:hint="eastAsia" w:ascii="楷体_GB2312" w:hAnsi="楷体_GB2312" w:eastAsia="楷体_GB2312"/>
          <w:b/>
          <w:bCs/>
          <w:sz w:val="32"/>
          <w:szCs w:val="32"/>
        </w:rPr>
      </w:pPr>
      <w:r>
        <w:rPr>
          <w:rFonts w:hint="eastAsia" w:ascii="楷体_GB2312" w:hAnsi="楷体_GB2312" w:eastAsia="楷体_GB2312"/>
          <w:b/>
          <w:bCs/>
          <w:sz w:val="32"/>
          <w:szCs w:val="32"/>
        </w:rPr>
        <w:t>第十四条</w:t>
      </w:r>
      <w:r>
        <w:rPr>
          <w:rFonts w:hint="eastAsia" w:ascii="仿宋_GB2312" w:hAnsi="仿宋_GB2312" w:eastAsia="仿宋_GB2312"/>
          <w:sz w:val="32"/>
          <w:szCs w:val="32"/>
        </w:rPr>
        <w:t xml:space="preserve"> </w:t>
      </w:r>
      <w:r>
        <w:rPr>
          <w:rFonts w:hint="eastAsia" w:ascii="仿宋_GB2312" w:hAnsi="仿宋_GB2312" w:eastAsia="仿宋_GB2312"/>
          <w:sz w:val="32"/>
          <w:szCs w:val="32"/>
          <w:lang w:eastAsia="zh-CN"/>
        </w:rPr>
        <w:t>2025</w:t>
      </w:r>
      <w:r>
        <w:rPr>
          <w:rFonts w:hint="eastAsia" w:ascii="仿宋_GB2312" w:hAnsi="仿宋_GB2312" w:eastAsia="仿宋_GB2312"/>
          <w:sz w:val="32"/>
          <w:szCs w:val="32"/>
        </w:rPr>
        <w:t>年招生计划以</w:t>
      </w:r>
      <w:r>
        <w:rPr>
          <w:rFonts w:hint="eastAsia" w:ascii="仿宋_GB2312" w:hAnsi="仿宋_GB2312" w:eastAsia="仿宋_GB2312"/>
          <w:sz w:val="32"/>
          <w:szCs w:val="32"/>
          <w:lang w:val="en-US" w:eastAsia="zh-CN"/>
        </w:rPr>
        <w:t>贵州</w:t>
      </w:r>
      <w:r>
        <w:rPr>
          <w:rFonts w:hint="eastAsia" w:ascii="仿宋_GB2312" w:hAnsi="仿宋_GB2312" w:eastAsia="仿宋_GB2312"/>
          <w:sz w:val="32"/>
          <w:szCs w:val="32"/>
        </w:rPr>
        <w:t>省教育厅下达为准，详见各省招生</w:t>
      </w:r>
      <w:r>
        <w:rPr>
          <w:rFonts w:hint="eastAsia" w:ascii="仿宋_GB2312" w:hAnsi="仿宋_GB2312" w:eastAsia="仿宋_GB2312"/>
          <w:sz w:val="32"/>
          <w:szCs w:val="32"/>
          <w:lang w:val="en-US" w:eastAsia="zh-CN"/>
        </w:rPr>
        <w:t>计划</w:t>
      </w:r>
      <w:r>
        <w:rPr>
          <w:rFonts w:hint="eastAsia" w:ascii="仿宋_GB2312" w:hAnsi="仿宋_GB2312" w:eastAsia="仿宋_GB2312"/>
          <w:sz w:val="32"/>
          <w:szCs w:val="32"/>
        </w:rPr>
        <w:t>目录</w:t>
      </w:r>
      <w:r>
        <w:rPr>
          <w:rFonts w:hint="eastAsia" w:ascii="仿宋_GB2312" w:hAnsi="仿宋_GB2312" w:eastAsia="仿宋_GB2312"/>
          <w:sz w:val="32"/>
          <w:szCs w:val="32"/>
          <w:lang w:eastAsia="zh-CN"/>
        </w:rPr>
        <w:t>。</w:t>
      </w:r>
    </w:p>
    <w:p w14:paraId="2D69B2EC">
      <w:pPr>
        <w:spacing w:before="218" w:line="560" w:lineRule="exact"/>
        <w:jc w:val="center"/>
        <w:rPr>
          <w:rFonts w:hint="eastAsia" w:ascii="黑体" w:hAnsi="黑体" w:eastAsia="黑体"/>
          <w:sz w:val="32"/>
          <w:szCs w:val="32"/>
        </w:rPr>
      </w:pPr>
      <w:r>
        <w:rPr>
          <w:rFonts w:hint="eastAsia" w:ascii="黑体" w:hAnsi="黑体" w:eastAsia="黑体"/>
          <w:sz w:val="32"/>
          <w:szCs w:val="32"/>
        </w:rPr>
        <w:t xml:space="preserve">第五章 </w:t>
      </w:r>
      <w:r>
        <w:rPr>
          <w:rFonts w:hint="eastAsia" w:ascii="黑体" w:hAnsi="黑体" w:eastAsia="黑体"/>
          <w:sz w:val="32"/>
          <w:szCs w:val="32"/>
          <w:lang w:val="en-US" w:eastAsia="zh-CN"/>
        </w:rPr>
        <w:t>报考条件</w:t>
      </w:r>
    </w:p>
    <w:p w14:paraId="7CFAB8CB">
      <w:pPr>
        <w:pStyle w:val="12"/>
        <w:shd w:val="clear" w:color="auto" w:fill="FFFFFF"/>
        <w:spacing w:beforeAutospacing="0" w:afterAutospacing="0" w:line="560" w:lineRule="exact"/>
        <w:ind w:firstLine="643" w:firstLineChars="200"/>
        <w:jc w:val="both"/>
        <w:rPr>
          <w:rFonts w:hint="eastAsia" w:ascii="楷体_GB2312" w:hAnsi="楷体_GB2312" w:eastAsia="楷体_GB2312"/>
          <w:b/>
          <w:bCs/>
          <w:kern w:val="2"/>
          <w:sz w:val="32"/>
          <w:szCs w:val="32"/>
        </w:rPr>
      </w:pPr>
      <w:r>
        <w:rPr>
          <w:rFonts w:hint="eastAsia" w:ascii="楷体_GB2312" w:hAnsi="楷体_GB2312" w:eastAsia="楷体_GB2312"/>
          <w:b/>
          <w:bCs/>
          <w:kern w:val="2"/>
          <w:sz w:val="32"/>
          <w:szCs w:val="32"/>
        </w:rPr>
        <w:t>第十</w:t>
      </w:r>
      <w:r>
        <w:rPr>
          <w:rFonts w:hint="eastAsia" w:ascii="楷体_GB2312" w:hAnsi="楷体_GB2312" w:eastAsia="楷体_GB2312"/>
          <w:b/>
          <w:bCs/>
          <w:kern w:val="2"/>
          <w:sz w:val="32"/>
          <w:szCs w:val="32"/>
          <w:lang w:val="en-US" w:eastAsia="zh-CN"/>
        </w:rPr>
        <w:t>五</w:t>
      </w:r>
      <w:r>
        <w:rPr>
          <w:rFonts w:hint="eastAsia" w:ascii="楷体_GB2312" w:hAnsi="楷体_GB2312" w:eastAsia="楷体_GB2312"/>
          <w:b/>
          <w:bCs/>
          <w:kern w:val="2"/>
          <w:sz w:val="32"/>
          <w:szCs w:val="32"/>
        </w:rPr>
        <w:t>条</w:t>
      </w:r>
      <w:r>
        <w:rPr>
          <w:rFonts w:hint="eastAsia" w:ascii="仿宋" w:hAnsi="仿宋" w:eastAsia="仿宋"/>
          <w:sz w:val="32"/>
          <w:szCs w:val="32"/>
        </w:rPr>
        <w:t xml:space="preserve"> </w:t>
      </w:r>
      <w:r>
        <w:rPr>
          <w:rFonts w:hint="eastAsia" w:ascii="仿宋_GB2312" w:hAnsi="仿宋_GB2312" w:eastAsia="仿宋_GB2312"/>
          <w:kern w:val="2"/>
          <w:sz w:val="32"/>
          <w:szCs w:val="32"/>
        </w:rPr>
        <w:t>符合</w:t>
      </w:r>
      <w:r>
        <w:rPr>
          <w:rFonts w:hint="eastAsia" w:ascii="仿宋_GB2312" w:hAnsi="仿宋_GB2312" w:eastAsia="仿宋_GB2312"/>
          <w:kern w:val="2"/>
          <w:sz w:val="32"/>
          <w:szCs w:val="32"/>
          <w:lang w:eastAsia="zh-CN"/>
        </w:rPr>
        <w:t>2025</w:t>
      </w:r>
      <w:r>
        <w:rPr>
          <w:rFonts w:hint="eastAsia" w:ascii="仿宋_GB2312" w:hAnsi="仿宋_GB2312" w:eastAsia="仿宋_GB2312"/>
          <w:kern w:val="2"/>
          <w:sz w:val="32"/>
          <w:szCs w:val="32"/>
        </w:rPr>
        <w:t>年</w:t>
      </w:r>
      <w:r>
        <w:rPr>
          <w:rFonts w:hint="eastAsia" w:ascii="仿宋_GB2312" w:hAnsi="仿宋_GB2312" w:eastAsia="仿宋_GB2312"/>
          <w:sz w:val="32"/>
          <w:szCs w:val="32"/>
        </w:rPr>
        <w:t>（直辖市、自治区）</w:t>
      </w:r>
      <w:r>
        <w:rPr>
          <w:rFonts w:hint="eastAsia" w:ascii="仿宋_GB2312" w:hAnsi="仿宋_GB2312" w:eastAsia="仿宋_GB2312"/>
          <w:kern w:val="2"/>
          <w:sz w:val="32"/>
          <w:szCs w:val="32"/>
        </w:rPr>
        <w:t>普通高考招生报考条件者均可报考</w:t>
      </w:r>
      <w:r>
        <w:rPr>
          <w:rFonts w:hint="eastAsia" w:ascii="仿宋_GB2312" w:hAnsi="仿宋_GB2312" w:eastAsia="仿宋_GB2312"/>
          <w:sz w:val="32"/>
          <w:szCs w:val="32"/>
        </w:rPr>
        <w:t>。</w:t>
      </w:r>
    </w:p>
    <w:p w14:paraId="1775F98D">
      <w:pPr>
        <w:spacing w:before="218" w:line="560" w:lineRule="exact"/>
        <w:jc w:val="center"/>
        <w:rPr>
          <w:rFonts w:hint="eastAsia" w:ascii="黑体" w:hAnsi="黑体" w:eastAsia="黑体"/>
          <w:sz w:val="32"/>
          <w:szCs w:val="32"/>
        </w:rPr>
      </w:pPr>
      <w:r>
        <w:rPr>
          <w:rFonts w:hint="eastAsia" w:ascii="黑体" w:hAnsi="黑体" w:eastAsia="黑体"/>
          <w:sz w:val="32"/>
          <w:szCs w:val="32"/>
        </w:rPr>
        <w:t>第六章 录取规则</w:t>
      </w:r>
    </w:p>
    <w:p w14:paraId="579B562A">
      <w:pPr>
        <w:spacing w:line="560" w:lineRule="exact"/>
        <w:ind w:firstLine="643" w:firstLineChars="200"/>
        <w:rPr>
          <w:rFonts w:hint="eastAsia" w:ascii="楷体_GB2312" w:hAnsi="楷体_GB2312" w:eastAsia="楷体_GB2312"/>
          <w:b/>
          <w:bCs/>
          <w:sz w:val="32"/>
          <w:szCs w:val="32"/>
        </w:rPr>
      </w:pPr>
      <w:r>
        <w:rPr>
          <w:rFonts w:hint="eastAsia" w:ascii="楷体_GB2312" w:hAnsi="楷体_GB2312" w:eastAsia="楷体_GB2312"/>
          <w:b/>
          <w:bCs/>
          <w:sz w:val="32"/>
          <w:szCs w:val="32"/>
        </w:rPr>
        <w:t>第十</w:t>
      </w:r>
      <w:r>
        <w:rPr>
          <w:rFonts w:hint="eastAsia" w:ascii="楷体_GB2312" w:hAnsi="楷体_GB2312" w:eastAsia="楷体_GB2312"/>
          <w:b/>
          <w:bCs/>
          <w:sz w:val="32"/>
          <w:szCs w:val="32"/>
          <w:lang w:val="en-US" w:eastAsia="zh-CN"/>
        </w:rPr>
        <w:t>六</w:t>
      </w:r>
      <w:r>
        <w:rPr>
          <w:rFonts w:hint="eastAsia" w:ascii="楷体_GB2312" w:hAnsi="楷体_GB2312" w:eastAsia="楷体_GB2312"/>
          <w:b/>
          <w:bCs/>
          <w:sz w:val="32"/>
          <w:szCs w:val="32"/>
        </w:rPr>
        <w:t>条</w:t>
      </w:r>
      <w:r>
        <w:rPr>
          <w:rFonts w:hint="eastAsia" w:ascii="仿宋_GB2312" w:hAnsi="仿宋_GB2312" w:eastAsia="仿宋_GB2312"/>
          <w:sz w:val="32"/>
          <w:szCs w:val="32"/>
        </w:rPr>
        <w:t xml:space="preserve"> 根据各省（直辖市、自治区）生源情况确定调档比例，调档比例原则控制在招生计划的120%以内。</w:t>
      </w:r>
    </w:p>
    <w:p w14:paraId="65140EC4">
      <w:pPr>
        <w:spacing w:line="560" w:lineRule="exact"/>
        <w:ind w:firstLine="643" w:firstLineChars="200"/>
        <w:rPr>
          <w:rFonts w:hint="eastAsia" w:ascii="楷体_GB2312" w:hAnsi="楷体_GB2312" w:eastAsia="楷体_GB2312"/>
          <w:b/>
          <w:bCs/>
          <w:sz w:val="32"/>
          <w:szCs w:val="32"/>
        </w:rPr>
      </w:pPr>
      <w:r>
        <w:rPr>
          <w:rFonts w:hint="eastAsia" w:ascii="楷体_GB2312" w:hAnsi="楷体_GB2312" w:eastAsia="楷体_GB2312"/>
          <w:b/>
          <w:bCs/>
          <w:sz w:val="32"/>
          <w:szCs w:val="32"/>
        </w:rPr>
        <w:t>第十</w:t>
      </w:r>
      <w:r>
        <w:rPr>
          <w:rFonts w:hint="eastAsia" w:ascii="楷体_GB2312" w:hAnsi="楷体_GB2312" w:eastAsia="楷体_GB2312"/>
          <w:b/>
          <w:bCs/>
          <w:sz w:val="32"/>
          <w:szCs w:val="32"/>
          <w:lang w:val="en-US" w:eastAsia="zh-CN"/>
        </w:rPr>
        <w:t>七</w:t>
      </w:r>
      <w:r>
        <w:rPr>
          <w:rFonts w:hint="eastAsia" w:ascii="楷体_GB2312" w:hAnsi="楷体_GB2312" w:eastAsia="楷体_GB2312"/>
          <w:b/>
          <w:bCs/>
          <w:sz w:val="32"/>
          <w:szCs w:val="32"/>
        </w:rPr>
        <w:t>条</w:t>
      </w:r>
      <w:r>
        <w:rPr>
          <w:rFonts w:hint="eastAsia" w:ascii="仿宋_GB2312" w:hAnsi="仿宋_GB2312" w:eastAsia="仿宋_GB2312"/>
          <w:sz w:val="32"/>
          <w:szCs w:val="32"/>
        </w:rPr>
        <w:t xml:space="preserve"> 严格执行国家规定的加分、降分政策，认可各省（直辖市、自治区）加、降分形成的投档成绩，并作为录取和安排专业的成绩依据，</w:t>
      </w:r>
      <w:r>
        <w:rPr>
          <w:rFonts w:hint="eastAsia" w:ascii="仿宋_GB2312" w:hAnsi="仿宋_GB2312" w:eastAsia="仿宋_GB2312"/>
          <w:color w:val="000000"/>
          <w:sz w:val="32"/>
          <w:szCs w:val="32"/>
        </w:rPr>
        <w:t>选考科目要求按省级招生部门发布的为准。</w:t>
      </w:r>
    </w:p>
    <w:p w14:paraId="6AD97BC7">
      <w:pPr>
        <w:spacing w:line="560" w:lineRule="exact"/>
        <w:ind w:firstLine="643" w:firstLineChars="200"/>
        <w:rPr>
          <w:rFonts w:hint="eastAsia" w:ascii="楷体_GB2312" w:hAnsi="楷体_GB2312" w:eastAsia="楷体_GB2312"/>
          <w:b/>
          <w:bCs/>
          <w:sz w:val="32"/>
          <w:szCs w:val="32"/>
        </w:rPr>
      </w:pPr>
      <w:r>
        <w:rPr>
          <w:rFonts w:hint="eastAsia" w:ascii="楷体_GB2312" w:hAnsi="楷体_GB2312" w:eastAsia="楷体_GB2312"/>
          <w:b/>
          <w:bCs/>
          <w:sz w:val="32"/>
          <w:szCs w:val="32"/>
        </w:rPr>
        <w:t>第</w:t>
      </w:r>
      <w:r>
        <w:rPr>
          <w:rFonts w:hint="eastAsia" w:ascii="楷体_GB2312" w:hAnsi="楷体_GB2312" w:eastAsia="楷体_GB2312"/>
          <w:b/>
          <w:bCs/>
          <w:sz w:val="32"/>
          <w:szCs w:val="32"/>
          <w:lang w:val="en-US" w:eastAsia="zh-CN"/>
        </w:rPr>
        <w:t>十八</w:t>
      </w:r>
      <w:r>
        <w:rPr>
          <w:rFonts w:hint="eastAsia" w:ascii="楷体_GB2312" w:hAnsi="楷体_GB2312" w:eastAsia="楷体_GB2312"/>
          <w:b/>
          <w:bCs/>
          <w:sz w:val="32"/>
          <w:szCs w:val="32"/>
        </w:rPr>
        <w:t>条</w:t>
      </w:r>
      <w:r>
        <w:rPr>
          <w:rFonts w:hint="eastAsia" w:ascii="仿宋_GB2312" w:hAnsi="仿宋_GB2312" w:eastAsia="仿宋_GB2312"/>
          <w:sz w:val="32"/>
          <w:szCs w:val="32"/>
        </w:rPr>
        <w:t xml:space="preserve"> 对于进档考生，实行“专业清”原则，即优先满足考生的第一专业志愿，按考生填报的专业志愿顺序和各专业招生计划数从高分到低分录取。实行无分数级差录取。若考生所报专业志愿都不满足时，将根据考生是否服从专业调剂及各专业录取情况进行专业调整。对不服从专业调剂的考生，将作退档处理。</w:t>
      </w:r>
      <w:r>
        <w:rPr>
          <w:rFonts w:hint="eastAsia" w:ascii="仿宋_GB2312" w:hAnsi="仿宋_GB2312" w:eastAsia="仿宋_GB2312"/>
          <w:b/>
          <w:bCs/>
          <w:sz w:val="32"/>
          <w:szCs w:val="32"/>
          <w:lang w:val="en-US" w:eastAsia="zh-CN"/>
        </w:rPr>
        <w:t>计算机网络技术（中外合作办学）录取后不能转专业。</w:t>
      </w:r>
    </w:p>
    <w:p w14:paraId="7F0B8A79">
      <w:pPr>
        <w:spacing w:line="560" w:lineRule="exact"/>
        <w:ind w:firstLine="643" w:firstLineChars="200"/>
        <w:rPr>
          <w:rFonts w:hint="eastAsia" w:ascii="楷体_GB2312" w:hAnsi="楷体_GB2312" w:eastAsia="楷体_GB2312"/>
          <w:b/>
          <w:bCs/>
          <w:sz w:val="32"/>
          <w:szCs w:val="32"/>
        </w:rPr>
      </w:pPr>
      <w:r>
        <w:rPr>
          <w:rFonts w:hint="eastAsia" w:ascii="楷体_GB2312" w:hAnsi="楷体_GB2312" w:eastAsia="楷体_GB2312"/>
          <w:b/>
          <w:bCs/>
          <w:sz w:val="32"/>
          <w:szCs w:val="32"/>
        </w:rPr>
        <w:t>第</w:t>
      </w:r>
      <w:r>
        <w:rPr>
          <w:rFonts w:hint="eastAsia" w:ascii="楷体_GB2312" w:hAnsi="楷体_GB2312" w:eastAsia="楷体_GB2312"/>
          <w:b/>
          <w:bCs/>
          <w:sz w:val="32"/>
          <w:szCs w:val="32"/>
          <w:lang w:val="en-US" w:eastAsia="zh-CN"/>
        </w:rPr>
        <w:t>十九</w:t>
      </w:r>
      <w:r>
        <w:rPr>
          <w:rFonts w:hint="eastAsia" w:ascii="楷体_GB2312" w:hAnsi="楷体_GB2312" w:eastAsia="楷体_GB2312"/>
          <w:b/>
          <w:bCs/>
          <w:sz w:val="32"/>
          <w:szCs w:val="32"/>
        </w:rPr>
        <w:t>条</w:t>
      </w:r>
      <w:r>
        <w:rPr>
          <w:rFonts w:hint="eastAsia" w:ascii="仿宋_GB2312" w:hAnsi="仿宋_GB2312" w:eastAsia="仿宋_GB2312"/>
          <w:sz w:val="32"/>
          <w:szCs w:val="32"/>
        </w:rPr>
        <w:t xml:space="preserve"> 若在录取中出现考生投档成绩相同情况，将依据各省（直辖市、自治区）招生录取相关规定，并与其生源地招生考试主管部门协商决定实施录取。</w:t>
      </w:r>
    </w:p>
    <w:p w14:paraId="23A59613">
      <w:pPr>
        <w:spacing w:line="560" w:lineRule="exact"/>
        <w:ind w:firstLine="643" w:firstLineChars="200"/>
        <w:rPr>
          <w:rFonts w:hint="eastAsia" w:ascii="楷体_GB2312" w:hAnsi="楷体_GB2312" w:eastAsia="楷体_GB2312"/>
          <w:b/>
          <w:bCs/>
          <w:sz w:val="32"/>
          <w:szCs w:val="32"/>
        </w:rPr>
      </w:pPr>
      <w:r>
        <w:rPr>
          <w:rFonts w:hint="eastAsia" w:ascii="楷体_GB2312" w:hAnsi="楷体_GB2312" w:eastAsia="楷体_GB2312"/>
          <w:b/>
          <w:bCs/>
          <w:sz w:val="32"/>
          <w:szCs w:val="32"/>
        </w:rPr>
        <w:t>第二十条</w:t>
      </w:r>
      <w:r>
        <w:rPr>
          <w:rFonts w:hint="eastAsia" w:ascii="仿宋_GB2312" w:hAnsi="仿宋_GB2312" w:eastAsia="仿宋_GB2312"/>
          <w:sz w:val="32"/>
          <w:szCs w:val="32"/>
        </w:rPr>
        <w:t xml:space="preserve"> 对于考生身体健康状况的要求，严格执行教育部、卫生部、中国残联联合颁布的《普通高等学院招生体检工作指导意见》。</w:t>
      </w:r>
    </w:p>
    <w:p w14:paraId="2927BED3">
      <w:pPr>
        <w:spacing w:before="218" w:line="560" w:lineRule="exact"/>
        <w:jc w:val="center"/>
        <w:rPr>
          <w:rFonts w:hint="eastAsia" w:ascii="黑体" w:hAnsi="黑体" w:eastAsia="黑体"/>
          <w:sz w:val="32"/>
          <w:szCs w:val="32"/>
        </w:rPr>
      </w:pPr>
      <w:r>
        <w:rPr>
          <w:rFonts w:hint="eastAsia" w:ascii="黑体" w:hAnsi="黑体" w:eastAsia="黑体"/>
          <w:sz w:val="32"/>
          <w:szCs w:val="32"/>
        </w:rPr>
        <w:t>第七章 收费标准与资助</w:t>
      </w:r>
    </w:p>
    <w:p w14:paraId="6EBA68A1">
      <w:pPr>
        <w:spacing w:line="560" w:lineRule="exact"/>
        <w:ind w:firstLine="643" w:firstLineChars="200"/>
        <w:rPr>
          <w:rFonts w:hint="eastAsia" w:ascii="仿宋_GB2312" w:hAnsi="仿宋_GB2312" w:eastAsia="仿宋_GB2312"/>
          <w:sz w:val="32"/>
          <w:szCs w:val="32"/>
          <w:lang w:val="en-US" w:eastAsia="zh-CN"/>
        </w:rPr>
      </w:pPr>
      <w:r>
        <w:rPr>
          <w:rFonts w:hint="eastAsia" w:ascii="楷体_GB2312" w:hAnsi="楷体_GB2312" w:eastAsia="楷体_GB2312"/>
          <w:b/>
          <w:bCs/>
          <w:sz w:val="32"/>
          <w:szCs w:val="32"/>
        </w:rPr>
        <w:t>第二十</w:t>
      </w:r>
      <w:r>
        <w:rPr>
          <w:rFonts w:hint="eastAsia" w:ascii="楷体_GB2312" w:hAnsi="楷体_GB2312" w:eastAsia="楷体_GB2312"/>
          <w:b/>
          <w:bCs/>
          <w:sz w:val="32"/>
          <w:szCs w:val="32"/>
          <w:lang w:val="en-US" w:eastAsia="zh-CN"/>
        </w:rPr>
        <w:t>一</w:t>
      </w:r>
      <w:r>
        <w:rPr>
          <w:rFonts w:hint="eastAsia" w:ascii="楷体_GB2312" w:hAnsi="楷体_GB2312" w:eastAsia="楷体_GB2312"/>
          <w:b/>
          <w:bCs/>
          <w:sz w:val="32"/>
          <w:szCs w:val="32"/>
        </w:rPr>
        <w:t>条</w:t>
      </w:r>
      <w:r>
        <w:rPr>
          <w:rFonts w:hint="eastAsia" w:ascii="仿宋_GB2312" w:hAnsi="仿宋_GB2312" w:eastAsia="仿宋_GB2312"/>
          <w:sz w:val="32"/>
          <w:szCs w:val="32"/>
        </w:rPr>
        <w:t xml:space="preserve"> 严格按照贵州省价格主管部门批准的项目及标准执行。</w:t>
      </w:r>
    </w:p>
    <w:p w14:paraId="534FB48D">
      <w:pPr>
        <w:spacing w:line="560" w:lineRule="exact"/>
        <w:ind w:firstLine="643" w:firstLineChars="200"/>
        <w:rPr>
          <w:rFonts w:hint="eastAsia" w:ascii="楷体_GB2312" w:hAnsi="楷体_GB2312" w:eastAsia="楷体_GB2312"/>
          <w:b/>
          <w:bCs/>
          <w:sz w:val="32"/>
          <w:szCs w:val="32"/>
        </w:rPr>
      </w:pPr>
      <w:r>
        <w:rPr>
          <w:rFonts w:hint="eastAsia" w:ascii="楷体_GB2312" w:hAnsi="楷体_GB2312" w:eastAsia="楷体_GB2312"/>
          <w:b/>
          <w:bCs/>
          <w:sz w:val="32"/>
          <w:szCs w:val="32"/>
        </w:rPr>
        <w:t>第二十</w:t>
      </w:r>
      <w:r>
        <w:rPr>
          <w:rFonts w:hint="eastAsia" w:ascii="楷体_GB2312" w:hAnsi="楷体_GB2312" w:eastAsia="楷体_GB2312"/>
          <w:b/>
          <w:bCs/>
          <w:sz w:val="32"/>
          <w:szCs w:val="32"/>
          <w:lang w:val="en-US" w:eastAsia="zh-CN"/>
        </w:rPr>
        <w:t>二</w:t>
      </w:r>
      <w:r>
        <w:rPr>
          <w:rFonts w:hint="eastAsia" w:ascii="楷体_GB2312" w:hAnsi="楷体_GB2312" w:eastAsia="楷体_GB2312"/>
          <w:b/>
          <w:bCs/>
          <w:sz w:val="32"/>
          <w:szCs w:val="32"/>
        </w:rPr>
        <w:t>条</w:t>
      </w:r>
      <w:r>
        <w:rPr>
          <w:rFonts w:hint="eastAsia" w:ascii="仿宋_GB2312" w:hAnsi="仿宋_GB2312" w:eastAsia="仿宋_GB2312"/>
          <w:sz w:val="32"/>
          <w:szCs w:val="32"/>
        </w:rPr>
        <w:t xml:space="preserve"> 学院有完善的“奖、贷、助、补、勤、减、免”多元化学生资助体系，新生进校时可开通家庭经济困难学生入学“绿色通道”。</w:t>
      </w:r>
    </w:p>
    <w:p w14:paraId="49C8C17C">
      <w:pPr>
        <w:spacing w:before="218" w:line="560" w:lineRule="exact"/>
        <w:jc w:val="center"/>
        <w:rPr>
          <w:rFonts w:hint="eastAsia" w:ascii="黑体" w:hAnsi="黑体" w:eastAsia="黑体"/>
          <w:sz w:val="32"/>
          <w:szCs w:val="32"/>
        </w:rPr>
      </w:pPr>
      <w:r>
        <w:rPr>
          <w:rFonts w:hint="eastAsia" w:ascii="黑体" w:hAnsi="黑体" w:eastAsia="黑体"/>
          <w:sz w:val="32"/>
          <w:szCs w:val="32"/>
        </w:rPr>
        <w:t>第八章  毕业证书</w:t>
      </w:r>
    </w:p>
    <w:p w14:paraId="66A43B34">
      <w:pPr>
        <w:spacing w:line="560" w:lineRule="exact"/>
        <w:ind w:firstLine="643" w:firstLineChars="200"/>
        <w:rPr>
          <w:rFonts w:hint="eastAsia" w:ascii="楷体_GB2312" w:hAnsi="楷体_GB2312" w:eastAsia="楷体_GB2312"/>
          <w:b/>
          <w:bCs/>
          <w:sz w:val="32"/>
          <w:szCs w:val="32"/>
        </w:rPr>
      </w:pPr>
      <w:r>
        <w:rPr>
          <w:rFonts w:hint="eastAsia" w:ascii="楷体_GB2312" w:hAnsi="楷体_GB2312" w:eastAsia="楷体_GB2312"/>
          <w:b/>
          <w:bCs/>
          <w:sz w:val="32"/>
          <w:szCs w:val="32"/>
        </w:rPr>
        <w:t>第二十</w:t>
      </w:r>
      <w:r>
        <w:rPr>
          <w:rFonts w:hint="eastAsia" w:ascii="楷体_GB2312" w:hAnsi="楷体_GB2312" w:eastAsia="楷体_GB2312"/>
          <w:b/>
          <w:bCs/>
          <w:sz w:val="32"/>
          <w:szCs w:val="32"/>
          <w:lang w:val="en-US" w:eastAsia="zh-CN"/>
        </w:rPr>
        <w:t>三</w:t>
      </w:r>
      <w:r>
        <w:rPr>
          <w:rFonts w:hint="eastAsia" w:ascii="楷体_GB2312" w:hAnsi="楷体_GB2312" w:eastAsia="楷体_GB2312"/>
          <w:b/>
          <w:bCs/>
          <w:sz w:val="32"/>
          <w:szCs w:val="32"/>
        </w:rPr>
        <w:t>条</w:t>
      </w:r>
      <w:r>
        <w:rPr>
          <w:rFonts w:hint="eastAsia" w:ascii="仿宋_GB2312" w:hAnsi="仿宋_GB2312" w:eastAsia="仿宋_GB2312"/>
          <w:sz w:val="32"/>
          <w:szCs w:val="32"/>
        </w:rPr>
        <w:t xml:space="preserve"> </w:t>
      </w:r>
      <w:r>
        <w:rPr>
          <w:rFonts w:hint="eastAsia" w:ascii="仿宋_GB2312" w:hAnsi="仿宋_GB2312" w:eastAsia="仿宋_GB2312"/>
          <w:sz w:val="32"/>
          <w:szCs w:val="32"/>
          <w:lang w:val="en-US" w:eastAsia="zh-CN"/>
        </w:rPr>
        <w:t>按照我校人才培养方案，学生</w:t>
      </w:r>
      <w:r>
        <w:rPr>
          <w:rFonts w:hint="eastAsia" w:ascii="仿宋_GB2312" w:hAnsi="仿宋_GB2312" w:eastAsia="仿宋_GB2312"/>
          <w:sz w:val="32"/>
          <w:szCs w:val="32"/>
        </w:rPr>
        <w:t>在</w:t>
      </w:r>
      <w:r>
        <w:rPr>
          <w:rFonts w:hint="eastAsia" w:ascii="仿宋_GB2312" w:hAnsi="仿宋_GB2312" w:eastAsia="仿宋_GB2312"/>
          <w:sz w:val="32"/>
          <w:szCs w:val="32"/>
          <w:lang w:val="en-US" w:eastAsia="zh-CN"/>
        </w:rPr>
        <w:t>规定的年限内</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修完教学计划规定的内容，</w:t>
      </w:r>
      <w:r>
        <w:rPr>
          <w:rFonts w:hint="eastAsia" w:ascii="仿宋_GB2312" w:hAnsi="仿宋_GB2312" w:eastAsia="仿宋_GB2312"/>
          <w:sz w:val="32"/>
          <w:szCs w:val="32"/>
        </w:rPr>
        <w:t>达到毕业要求的，</w:t>
      </w:r>
      <w:r>
        <w:rPr>
          <w:rFonts w:hint="eastAsia" w:ascii="仿宋_GB2312" w:hAnsi="仿宋_GB2312" w:eastAsia="仿宋_GB2312"/>
          <w:sz w:val="32"/>
          <w:szCs w:val="32"/>
          <w:lang w:val="en-US" w:eastAsia="zh-CN"/>
        </w:rPr>
        <w:t>发给</w:t>
      </w:r>
      <w:r>
        <w:rPr>
          <w:rFonts w:hint="eastAsia" w:ascii="仿宋_GB2312" w:hAnsi="仿宋_GB2312" w:eastAsia="仿宋_GB2312"/>
          <w:sz w:val="32"/>
          <w:szCs w:val="32"/>
        </w:rPr>
        <w:t>国家承认学历的</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教育部</w:t>
      </w:r>
      <w:r>
        <w:rPr>
          <w:rFonts w:hint="eastAsia" w:ascii="仿宋_GB2312" w:hAnsi="仿宋_GB2312" w:eastAsia="仿宋_GB2312"/>
          <w:sz w:val="32"/>
          <w:szCs w:val="32"/>
          <w:lang w:val="en-US" w:eastAsia="zh-CN"/>
        </w:rPr>
        <w:t>学籍、学历</w:t>
      </w:r>
      <w:r>
        <w:rPr>
          <w:rFonts w:hint="eastAsia" w:ascii="仿宋_GB2312" w:hAnsi="仿宋_GB2312" w:eastAsia="仿宋_GB2312"/>
          <w:sz w:val="32"/>
          <w:szCs w:val="32"/>
        </w:rPr>
        <w:t>电子注册的铜仁职业技术</w:t>
      </w:r>
      <w:r>
        <w:rPr>
          <w:rFonts w:hint="eastAsia" w:ascii="仿宋_GB2312" w:hAnsi="仿宋_GB2312" w:eastAsia="仿宋_GB2312"/>
          <w:sz w:val="32"/>
          <w:szCs w:val="32"/>
          <w:lang w:val="en-US" w:eastAsia="zh-CN"/>
        </w:rPr>
        <w:t>大学</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本科、</w:t>
      </w:r>
      <w:r>
        <w:rPr>
          <w:rFonts w:hint="eastAsia" w:ascii="仿宋_GB2312" w:hAnsi="仿宋_GB2312" w:eastAsia="仿宋_GB2312"/>
          <w:sz w:val="32"/>
          <w:szCs w:val="32"/>
        </w:rPr>
        <w:t>高职专科）毕业证书，并以此具印。</w:t>
      </w:r>
    </w:p>
    <w:p w14:paraId="14FB60DF">
      <w:pPr>
        <w:spacing w:before="218" w:line="560" w:lineRule="exact"/>
        <w:jc w:val="center"/>
        <w:rPr>
          <w:rFonts w:hint="eastAsia" w:ascii="黑体" w:hAnsi="黑体" w:eastAsia="黑体"/>
          <w:sz w:val="32"/>
          <w:szCs w:val="32"/>
        </w:rPr>
      </w:pPr>
      <w:r>
        <w:rPr>
          <w:rFonts w:hint="eastAsia" w:ascii="黑体" w:hAnsi="黑体" w:eastAsia="黑体"/>
          <w:sz w:val="32"/>
          <w:szCs w:val="32"/>
        </w:rPr>
        <w:t>第九章  入学资格审查</w:t>
      </w:r>
    </w:p>
    <w:p w14:paraId="2C3A42C0">
      <w:pPr>
        <w:spacing w:line="560" w:lineRule="exact"/>
        <w:ind w:firstLine="643" w:firstLineChars="200"/>
        <w:rPr>
          <w:rFonts w:hint="eastAsia" w:ascii="楷体_GB2312" w:hAnsi="楷体_GB2312" w:eastAsia="楷体_GB2312"/>
          <w:b/>
          <w:bCs/>
          <w:sz w:val="32"/>
          <w:szCs w:val="32"/>
        </w:rPr>
      </w:pPr>
      <w:r>
        <w:rPr>
          <w:rFonts w:hint="eastAsia" w:ascii="楷体_GB2312" w:hAnsi="楷体_GB2312" w:eastAsia="楷体_GB2312"/>
          <w:b/>
          <w:bCs/>
          <w:sz w:val="32"/>
          <w:szCs w:val="32"/>
        </w:rPr>
        <w:t>第二十</w:t>
      </w:r>
      <w:r>
        <w:rPr>
          <w:rFonts w:hint="eastAsia" w:ascii="楷体_GB2312" w:hAnsi="楷体_GB2312" w:eastAsia="楷体_GB2312"/>
          <w:b/>
          <w:bCs/>
          <w:sz w:val="32"/>
          <w:szCs w:val="32"/>
          <w:lang w:val="en-US" w:eastAsia="zh-CN"/>
        </w:rPr>
        <w:t>四</w:t>
      </w:r>
      <w:r>
        <w:rPr>
          <w:rFonts w:hint="eastAsia" w:ascii="楷体_GB2312" w:hAnsi="楷体_GB2312" w:eastAsia="楷体_GB2312"/>
          <w:b/>
          <w:bCs/>
          <w:sz w:val="32"/>
          <w:szCs w:val="32"/>
        </w:rPr>
        <w:t>条</w:t>
      </w:r>
      <w:r>
        <w:rPr>
          <w:rFonts w:hint="eastAsia" w:ascii="仿宋_GB2312" w:hAnsi="仿宋_GB2312" w:eastAsia="仿宋_GB2312"/>
          <w:sz w:val="32"/>
          <w:szCs w:val="32"/>
        </w:rPr>
        <w:t xml:space="preserve"> 新生入学</w:t>
      </w:r>
      <w:r>
        <w:rPr>
          <w:rFonts w:hint="eastAsia" w:ascii="仿宋_GB2312" w:hAnsi="仿宋_GB2312" w:eastAsia="仿宋_GB2312"/>
          <w:sz w:val="32"/>
          <w:szCs w:val="32"/>
          <w:lang w:val="en-US" w:eastAsia="zh-CN"/>
        </w:rPr>
        <w:t>后</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学校</w:t>
      </w:r>
      <w:r>
        <w:rPr>
          <w:rFonts w:hint="eastAsia" w:ascii="仿宋_GB2312" w:hAnsi="仿宋_GB2312" w:eastAsia="仿宋_GB2312"/>
          <w:sz w:val="32"/>
          <w:szCs w:val="32"/>
        </w:rPr>
        <w:t>按照国家</w:t>
      </w:r>
      <w:r>
        <w:rPr>
          <w:rFonts w:hint="eastAsia" w:ascii="仿宋_GB2312" w:hAnsi="仿宋_GB2312" w:eastAsia="仿宋_GB2312"/>
          <w:sz w:val="32"/>
          <w:szCs w:val="32"/>
          <w:lang w:val="en-US" w:eastAsia="zh-CN"/>
        </w:rPr>
        <w:t>相关</w:t>
      </w:r>
      <w:r>
        <w:rPr>
          <w:rFonts w:hint="eastAsia" w:ascii="仿宋_GB2312" w:hAnsi="仿宋_GB2312" w:eastAsia="仿宋_GB2312"/>
          <w:sz w:val="32"/>
          <w:szCs w:val="32"/>
        </w:rPr>
        <w:t>规定对</w:t>
      </w:r>
      <w:r>
        <w:rPr>
          <w:rFonts w:hint="eastAsia" w:ascii="仿宋_GB2312" w:hAnsi="仿宋_GB2312" w:eastAsia="仿宋_GB2312"/>
          <w:sz w:val="32"/>
          <w:szCs w:val="32"/>
          <w:lang w:val="en-US" w:eastAsia="zh-CN"/>
        </w:rPr>
        <w:t>学生</w:t>
      </w:r>
      <w:r>
        <w:rPr>
          <w:rFonts w:hint="eastAsia" w:ascii="仿宋_GB2312" w:hAnsi="仿宋_GB2312" w:eastAsia="仿宋_GB2312"/>
          <w:sz w:val="32"/>
          <w:szCs w:val="32"/>
        </w:rPr>
        <w:t>进行全面复查。复查合格者予以注册学籍，复查不合格者，由</w:t>
      </w:r>
      <w:r>
        <w:rPr>
          <w:rFonts w:hint="eastAsia" w:ascii="仿宋_GB2312" w:hAnsi="仿宋_GB2312" w:eastAsia="仿宋_GB2312"/>
          <w:sz w:val="32"/>
          <w:szCs w:val="32"/>
          <w:lang w:val="en-US" w:eastAsia="zh-CN"/>
        </w:rPr>
        <w:t>学校</w:t>
      </w:r>
      <w:r>
        <w:rPr>
          <w:rFonts w:hint="eastAsia" w:ascii="仿宋_GB2312" w:hAnsi="仿宋_GB2312" w:eastAsia="仿宋_GB2312"/>
          <w:sz w:val="32"/>
          <w:szCs w:val="32"/>
        </w:rPr>
        <w:t>根据相关规定予以处理。</w:t>
      </w:r>
    </w:p>
    <w:p w14:paraId="743D9F37">
      <w:pPr>
        <w:spacing w:before="218" w:line="560" w:lineRule="exact"/>
        <w:jc w:val="center"/>
        <w:rPr>
          <w:rFonts w:hint="eastAsia" w:ascii="黑体" w:hAnsi="黑体" w:eastAsia="黑体"/>
          <w:sz w:val="32"/>
          <w:szCs w:val="32"/>
        </w:rPr>
      </w:pPr>
      <w:r>
        <w:rPr>
          <w:rFonts w:hint="eastAsia" w:ascii="黑体" w:hAnsi="黑体" w:eastAsia="黑体"/>
          <w:sz w:val="32"/>
          <w:szCs w:val="32"/>
        </w:rPr>
        <w:t>第十章 附则</w:t>
      </w:r>
    </w:p>
    <w:p w14:paraId="45A020DB">
      <w:pPr>
        <w:spacing w:line="560" w:lineRule="exact"/>
        <w:ind w:firstLine="643" w:firstLineChars="200"/>
        <w:rPr>
          <w:rFonts w:hint="eastAsia" w:ascii="楷体_GB2312" w:hAnsi="楷体_GB2312" w:eastAsia="楷体_GB2312"/>
          <w:b/>
          <w:bCs/>
          <w:sz w:val="32"/>
          <w:szCs w:val="32"/>
        </w:rPr>
      </w:pPr>
      <w:r>
        <w:rPr>
          <w:rFonts w:hint="eastAsia" w:ascii="楷体_GB2312" w:hAnsi="楷体_GB2312" w:eastAsia="楷体_GB2312"/>
          <w:b/>
          <w:bCs/>
          <w:sz w:val="32"/>
          <w:szCs w:val="32"/>
        </w:rPr>
        <w:t>第二十</w:t>
      </w:r>
      <w:r>
        <w:rPr>
          <w:rFonts w:hint="eastAsia" w:ascii="楷体_GB2312" w:hAnsi="楷体_GB2312" w:eastAsia="楷体_GB2312"/>
          <w:b/>
          <w:bCs/>
          <w:sz w:val="32"/>
          <w:szCs w:val="32"/>
          <w:lang w:val="en-US" w:eastAsia="zh-CN"/>
        </w:rPr>
        <w:t>五</w:t>
      </w:r>
      <w:r>
        <w:rPr>
          <w:rFonts w:hint="eastAsia" w:ascii="楷体_GB2312" w:hAnsi="楷体_GB2312" w:eastAsia="楷体_GB2312"/>
          <w:b/>
          <w:bCs/>
          <w:sz w:val="32"/>
          <w:szCs w:val="32"/>
        </w:rPr>
        <w:t>条</w:t>
      </w:r>
      <w:r>
        <w:rPr>
          <w:rFonts w:hint="eastAsia" w:ascii="仿宋_GB2312" w:hAnsi="仿宋_GB2312" w:eastAsia="仿宋_GB2312"/>
          <w:sz w:val="32"/>
          <w:szCs w:val="32"/>
        </w:rPr>
        <w:t xml:space="preserve"> 学院招生办联系方式</w:t>
      </w:r>
    </w:p>
    <w:p w14:paraId="2377C669">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邮政编码：554300</w:t>
      </w:r>
    </w:p>
    <w:p w14:paraId="0756A575">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区    号：0856</w:t>
      </w:r>
    </w:p>
    <w:p w14:paraId="18256F05">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联系电话：6909006</w:t>
      </w:r>
    </w:p>
    <w:p w14:paraId="2AAA2B51">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传    真：6909007</w:t>
      </w:r>
    </w:p>
    <w:p w14:paraId="76836180">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监督电话：690906</w:t>
      </w:r>
      <w:r>
        <w:rPr>
          <w:rFonts w:hint="eastAsia" w:ascii="仿宋_GB2312" w:hAnsi="仿宋_GB2312" w:eastAsia="仿宋_GB2312"/>
          <w:sz w:val="32"/>
          <w:szCs w:val="32"/>
          <w:lang w:val="en-US" w:eastAsia="zh-CN"/>
        </w:rPr>
        <w:t>6</w:t>
      </w:r>
    </w:p>
    <w:p w14:paraId="3C1D5063">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电子邮箱：trzyzsjy@163.com</w:t>
      </w:r>
    </w:p>
    <w:p w14:paraId="4E217D3D">
      <w:pPr>
        <w:spacing w:line="560" w:lineRule="exact"/>
        <w:ind w:left="638" w:leftChars="304"/>
        <w:jc w:val="left"/>
        <w:rPr>
          <w:rFonts w:hint="eastAsia" w:ascii="仿宋_GB2312" w:hAnsi="仿宋_GB2312" w:eastAsia="仿宋_GB2312"/>
          <w:sz w:val="32"/>
          <w:szCs w:val="32"/>
        </w:rPr>
      </w:pPr>
      <w:r>
        <w:rPr>
          <w:rFonts w:hint="eastAsia" w:ascii="仿宋_GB2312" w:hAnsi="仿宋_GB2312" w:eastAsia="仿宋_GB2312"/>
          <w:sz w:val="32"/>
          <w:szCs w:val="32"/>
        </w:rPr>
        <w:t>学</w:t>
      </w:r>
      <w:r>
        <w:rPr>
          <w:rFonts w:hint="eastAsia" w:ascii="仿宋_GB2312" w:hAnsi="仿宋_GB2312" w:eastAsia="仿宋_GB2312"/>
          <w:sz w:val="32"/>
          <w:szCs w:val="32"/>
          <w:lang w:val="en-US" w:eastAsia="zh-CN"/>
        </w:rPr>
        <w:t>校</w:t>
      </w:r>
      <w:r>
        <w:rPr>
          <w:rFonts w:hint="eastAsia" w:ascii="仿宋_GB2312" w:hAnsi="仿宋_GB2312" w:eastAsia="仿宋_GB2312"/>
          <w:sz w:val="32"/>
          <w:szCs w:val="32"/>
        </w:rPr>
        <w:t>招生办公室网址：</w:t>
      </w:r>
      <w:r>
        <w:rPr>
          <w:rFonts w:hint="eastAsia" w:ascii="仿宋_GB2312" w:hAnsi="仿宋_GB2312" w:eastAsia="仿宋_GB2312"/>
          <w:color w:val="000000"/>
          <w:sz w:val="32"/>
          <w:szCs w:val="32"/>
          <w:u w:val="none"/>
        </w:rPr>
        <w:t>http://www.trzy.edu.cn/sites/html/zsw/</w:t>
      </w:r>
    </w:p>
    <w:p w14:paraId="3346BCE2">
      <w:pPr>
        <w:spacing w:line="560" w:lineRule="exact"/>
        <w:ind w:firstLine="643" w:firstLineChars="200"/>
        <w:rPr>
          <w:rFonts w:hint="eastAsia" w:ascii="楷体_GB2312" w:hAnsi="楷体_GB2312" w:eastAsia="楷体_GB2312"/>
          <w:b/>
          <w:bCs/>
          <w:sz w:val="32"/>
          <w:szCs w:val="32"/>
        </w:rPr>
      </w:pPr>
      <w:r>
        <w:rPr>
          <w:rFonts w:hint="eastAsia" w:ascii="楷体_GB2312" w:hAnsi="楷体_GB2312" w:eastAsia="楷体_GB2312"/>
          <w:b/>
          <w:bCs/>
          <w:sz w:val="32"/>
          <w:szCs w:val="32"/>
        </w:rPr>
        <w:t>第二十</w:t>
      </w:r>
      <w:r>
        <w:rPr>
          <w:rFonts w:hint="eastAsia" w:ascii="楷体_GB2312" w:hAnsi="楷体_GB2312" w:eastAsia="楷体_GB2312"/>
          <w:b/>
          <w:bCs/>
          <w:sz w:val="32"/>
          <w:szCs w:val="32"/>
          <w:lang w:val="en-US" w:eastAsia="zh-CN"/>
        </w:rPr>
        <w:t>六</w:t>
      </w:r>
      <w:r>
        <w:rPr>
          <w:rFonts w:hint="eastAsia" w:ascii="楷体_GB2312" w:hAnsi="楷体_GB2312" w:eastAsia="楷体_GB2312"/>
          <w:b/>
          <w:bCs/>
          <w:sz w:val="32"/>
          <w:szCs w:val="32"/>
        </w:rPr>
        <w:t>条</w:t>
      </w:r>
      <w:r>
        <w:rPr>
          <w:rFonts w:hint="eastAsia" w:ascii="仿宋_GB2312" w:hAnsi="仿宋_GB2312" w:eastAsia="仿宋_GB2312"/>
          <w:sz w:val="32"/>
          <w:szCs w:val="32"/>
        </w:rPr>
        <w:t xml:space="preserve"> 本《章程》若与国家法律、法规、规章、规范和有关政策相抵触的，以国家法律、法规、规章、规范和有关政策为准。</w:t>
      </w:r>
    </w:p>
    <w:p w14:paraId="326EE110">
      <w:pPr>
        <w:spacing w:line="560" w:lineRule="exact"/>
        <w:ind w:firstLine="643" w:firstLineChars="200"/>
        <w:rPr>
          <w:rFonts w:hint="eastAsia" w:ascii="楷体_GB2312" w:hAnsi="楷体_GB2312" w:eastAsia="楷体_GB2312"/>
          <w:b/>
          <w:bCs/>
          <w:sz w:val="32"/>
          <w:szCs w:val="32"/>
        </w:rPr>
      </w:pPr>
      <w:r>
        <w:rPr>
          <w:rFonts w:hint="eastAsia" w:ascii="楷体_GB2312" w:hAnsi="楷体_GB2312" w:eastAsia="楷体_GB2312"/>
          <w:b/>
          <w:bCs/>
          <w:sz w:val="32"/>
          <w:szCs w:val="32"/>
        </w:rPr>
        <w:t>第</w:t>
      </w:r>
      <w:r>
        <w:rPr>
          <w:rFonts w:hint="eastAsia" w:ascii="楷体_GB2312" w:hAnsi="楷体_GB2312" w:eastAsia="楷体_GB2312"/>
          <w:b/>
          <w:bCs/>
          <w:sz w:val="32"/>
          <w:szCs w:val="32"/>
          <w:lang w:val="en-US" w:eastAsia="zh-CN"/>
        </w:rPr>
        <w:t>二十七</w:t>
      </w:r>
      <w:r>
        <w:rPr>
          <w:rFonts w:hint="eastAsia" w:ascii="楷体_GB2312" w:hAnsi="楷体_GB2312" w:eastAsia="楷体_GB2312"/>
          <w:b/>
          <w:bCs/>
          <w:sz w:val="32"/>
          <w:szCs w:val="32"/>
        </w:rPr>
        <w:t>条</w:t>
      </w:r>
      <w:r>
        <w:rPr>
          <w:rFonts w:hint="eastAsia" w:ascii="仿宋_GB2312" w:hAnsi="仿宋_GB2312" w:eastAsia="仿宋_GB2312"/>
          <w:sz w:val="32"/>
          <w:szCs w:val="32"/>
        </w:rPr>
        <w:t xml:space="preserve"> 本章程由铜仁职业技术</w:t>
      </w:r>
      <w:r>
        <w:rPr>
          <w:rFonts w:hint="eastAsia" w:ascii="仿宋_GB2312" w:hAnsi="仿宋_GB2312" w:eastAsia="仿宋_GB2312"/>
          <w:sz w:val="32"/>
          <w:szCs w:val="32"/>
          <w:lang w:val="en-US" w:eastAsia="zh-CN"/>
        </w:rPr>
        <w:t>大学</w:t>
      </w:r>
      <w:bookmarkStart w:id="0" w:name="_GoBack"/>
      <w:bookmarkEnd w:id="0"/>
      <w:r>
        <w:rPr>
          <w:rFonts w:hint="eastAsia" w:ascii="仿宋_GB2312" w:hAnsi="仿宋_GB2312" w:eastAsia="仿宋_GB2312"/>
          <w:sz w:val="32"/>
          <w:szCs w:val="32"/>
        </w:rPr>
        <w:t>负责解释。</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documentProtection w:enforcement="0"/>
  <w:defaultTabStop w:val="420"/>
  <w:displayHorizontalDrawingGridEvery w:val="1"/>
  <w:displayVerticalDrawingGridEvery w:val="1"/>
  <w:noPunctuationKerning w:val="1"/>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1"/>
  </w:compat>
  <w:docVars>
    <w:docVar w:name="commondata" w:val="eyJoZGlkIjoiOTFjOWU2MmI0ZGVmMjc4YmRiZDIzMjE0ZTdiOGQ5YjIifQ=="/>
  </w:docVars>
  <w:rsids>
    <w:rsidRoot w:val="00000000"/>
    <w:rsid w:val="02F24A1E"/>
    <w:rsid w:val="03E94B2B"/>
    <w:rsid w:val="04504BAA"/>
    <w:rsid w:val="05235753"/>
    <w:rsid w:val="068E5516"/>
    <w:rsid w:val="09BA02A1"/>
    <w:rsid w:val="0A3802DD"/>
    <w:rsid w:val="107240FA"/>
    <w:rsid w:val="12064AFA"/>
    <w:rsid w:val="135C401D"/>
    <w:rsid w:val="13FF5CA5"/>
    <w:rsid w:val="14AD5701"/>
    <w:rsid w:val="151B3526"/>
    <w:rsid w:val="15232C77"/>
    <w:rsid w:val="17193F45"/>
    <w:rsid w:val="18477C1A"/>
    <w:rsid w:val="194D1260"/>
    <w:rsid w:val="199926F8"/>
    <w:rsid w:val="19E5593D"/>
    <w:rsid w:val="1B70333E"/>
    <w:rsid w:val="1D5B31D4"/>
    <w:rsid w:val="20835C64"/>
    <w:rsid w:val="27830026"/>
    <w:rsid w:val="2B911481"/>
    <w:rsid w:val="2F454721"/>
    <w:rsid w:val="3236068C"/>
    <w:rsid w:val="32AB5D01"/>
    <w:rsid w:val="33923FE8"/>
    <w:rsid w:val="372238D5"/>
    <w:rsid w:val="37A83DDA"/>
    <w:rsid w:val="39A22AAB"/>
    <w:rsid w:val="3D595B76"/>
    <w:rsid w:val="3E3100AD"/>
    <w:rsid w:val="3F0C54F4"/>
    <w:rsid w:val="430B16C1"/>
    <w:rsid w:val="44103433"/>
    <w:rsid w:val="4C7B1665"/>
    <w:rsid w:val="54782950"/>
    <w:rsid w:val="5CFF1E3E"/>
    <w:rsid w:val="632443AD"/>
    <w:rsid w:val="677156E7"/>
    <w:rsid w:val="681A5D7E"/>
    <w:rsid w:val="69A31ABD"/>
    <w:rsid w:val="6BCE7257"/>
    <w:rsid w:val="6D877A12"/>
    <w:rsid w:val="6F6A77E1"/>
    <w:rsid w:val="6F8B6825"/>
    <w:rsid w:val="6FB2689C"/>
    <w:rsid w:val="711772FF"/>
    <w:rsid w:val="72E17BC5"/>
    <w:rsid w:val="765D3A06"/>
    <w:rsid w:val="78C86674"/>
    <w:rsid w:val="790073DA"/>
    <w:rsid w:val="798474FC"/>
    <w:rsid w:val="7DA95352"/>
    <w:rsid w:val="7F272E03"/>
    <w:rsid w:val="7FB775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semiHidden/>
    <w:qFormat/>
    <w:uiPriority w:val="0"/>
  </w:style>
  <w:style w:type="table" w:customStyle="1" w:styleId="5">
    <w:name w:val="普通表格1"/>
    <w:semiHidden/>
    <w:qFormat/>
    <w:uiPriority w:val="0"/>
  </w:style>
  <w:style w:type="paragraph" w:customStyle="1" w:styleId="6">
    <w:name w:val="批注框文本1"/>
    <w:basedOn w:val="1"/>
    <w:link w:val="7"/>
    <w:autoRedefine/>
    <w:qFormat/>
    <w:uiPriority w:val="0"/>
    <w:rPr>
      <w:sz w:val="18"/>
      <w:szCs w:val="18"/>
    </w:rPr>
  </w:style>
  <w:style w:type="character" w:customStyle="1" w:styleId="7">
    <w:name w:val="批注框文本 Char"/>
    <w:link w:val="6"/>
    <w:autoRedefine/>
    <w:qFormat/>
    <w:uiPriority w:val="0"/>
    <w:rPr>
      <w:kern w:val="2"/>
      <w:sz w:val="18"/>
      <w:szCs w:val="18"/>
    </w:rPr>
  </w:style>
  <w:style w:type="paragraph" w:customStyle="1" w:styleId="8">
    <w:name w:val="页脚1"/>
    <w:basedOn w:val="1"/>
    <w:link w:val="9"/>
    <w:autoRedefine/>
    <w:qFormat/>
    <w:uiPriority w:val="0"/>
    <w:pPr>
      <w:tabs>
        <w:tab w:val="center" w:pos="4153"/>
        <w:tab w:val="right" w:pos="8306"/>
      </w:tabs>
      <w:snapToGrid w:val="0"/>
      <w:jc w:val="left"/>
    </w:pPr>
    <w:rPr>
      <w:sz w:val="18"/>
      <w:szCs w:val="18"/>
    </w:rPr>
  </w:style>
  <w:style w:type="character" w:customStyle="1" w:styleId="9">
    <w:name w:val="页脚 Char"/>
    <w:link w:val="8"/>
    <w:autoRedefine/>
    <w:qFormat/>
    <w:uiPriority w:val="0"/>
    <w:rPr>
      <w:kern w:val="2"/>
      <w:sz w:val="18"/>
      <w:szCs w:val="18"/>
    </w:rPr>
  </w:style>
  <w:style w:type="paragraph" w:customStyle="1" w:styleId="10">
    <w:name w:val="页眉1"/>
    <w:basedOn w:val="1"/>
    <w:link w:val="11"/>
    <w:autoRedefine/>
    <w:qFormat/>
    <w:uiPriority w:val="0"/>
    <w:pPr>
      <w:pBdr>
        <w:bottom w:val="single" w:color="000000" w:sz="6" w:space="1"/>
      </w:pBdr>
      <w:tabs>
        <w:tab w:val="center" w:pos="4153"/>
        <w:tab w:val="right" w:pos="8306"/>
      </w:tabs>
      <w:snapToGrid w:val="0"/>
      <w:jc w:val="center"/>
    </w:pPr>
    <w:rPr>
      <w:sz w:val="18"/>
      <w:szCs w:val="18"/>
    </w:rPr>
  </w:style>
  <w:style w:type="character" w:customStyle="1" w:styleId="11">
    <w:name w:val="页眉 Char"/>
    <w:link w:val="10"/>
    <w:qFormat/>
    <w:uiPriority w:val="0"/>
    <w:rPr>
      <w:kern w:val="2"/>
      <w:sz w:val="18"/>
      <w:szCs w:val="18"/>
    </w:rPr>
  </w:style>
  <w:style w:type="paragraph" w:customStyle="1" w:styleId="12">
    <w:name w:val="普通(网站)1"/>
    <w:basedOn w:val="1"/>
    <w:autoRedefine/>
    <w:qFormat/>
    <w:uiPriority w:val="0"/>
    <w:pPr>
      <w:widowControl/>
      <w:spacing w:before="100" w:beforeAutospacing="1" w:after="100" w:afterAutospacing="1"/>
      <w:jc w:val="left"/>
    </w:pPr>
    <w:rPr>
      <w:rFonts w:ascii="宋体" w:hAnsi="宋体"/>
      <w:kern w:val="0"/>
      <w:sz w:val="24"/>
    </w:rPr>
  </w:style>
  <w:style w:type="character" w:customStyle="1" w:styleId="13">
    <w:name w:val="超链接1"/>
    <w:link w:val="1"/>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1696</Words>
  <Characters>1833</Characters>
  <Lines>0</Lines>
  <Paragraphs>0</Paragraphs>
  <TotalTime>1</TotalTime>
  <ScaleCrop>false</ScaleCrop>
  <LinksUpToDate>false</LinksUpToDate>
  <CharactersWithSpaces>1884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2024-04-26T01:49:00Z</dcterms:created>
  <dc:creator>路飛1412405646</dc:creator>
  <cp:lastModifiedBy>good</cp:lastModifiedBy>
  <cp:lastPrinted>2025-05-06T02:53:00Z</cp:lastPrinted>
  <dcterms:modified xsi:type="dcterms:W3CDTF">2025-06-17T09:03:46Z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03263201079046639942BF58DF302C1A_12</vt:lpwstr>
  </property>
  <property fmtid="{D5CDD505-2E9C-101B-9397-08002B2CF9AE}" pid="4" name="KSOTemplateDocerSaveRecord">
    <vt:lpwstr>eyJoZGlkIjoiOTFjOWU2MmI0ZGVmMjc4YmRiZDIzMjE0ZTdiOGQ5YjIiLCJ1c2VySWQiOiIxOTM0ODQ0ODcifQ==</vt:lpwstr>
  </property>
</Properties>
</file>