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7C3477">
      <w:pPr>
        <w:jc w:val="center"/>
        <w:rPr>
          <w:rFonts w:hint="eastAsia" w:ascii="方正小标宋简体" w:hAnsi="方正小标宋简体" w:eastAsia="方正小标宋简体" w:cs="方正小标宋简体"/>
          <w:b/>
          <w:sz w:val="44"/>
          <w:szCs w:val="44"/>
        </w:rPr>
      </w:pPr>
      <w:r>
        <w:rPr>
          <w:rFonts w:hint="eastAsia" w:ascii="方正小标宋简体" w:hAnsi="方正小标宋简体" w:eastAsia="方正小标宋简体" w:cs="方正小标宋简体"/>
          <w:b/>
          <w:sz w:val="44"/>
          <w:szCs w:val="44"/>
        </w:rPr>
        <w:t>医学检验技术专业简介</w:t>
      </w:r>
    </w:p>
    <w:p w14:paraId="45F4689C">
      <w:pPr>
        <w:spacing w:line="360" w:lineRule="auto"/>
        <w:ind w:firstLine="640" w:firstLineChars="200"/>
        <w:rPr>
          <w:rFonts w:hint="eastAsia" w:ascii="宋体" w:hAnsi="宋体" w:eastAsia="宋体" w:cs="Times New Roman"/>
          <w:color w:val="000000"/>
          <w:sz w:val="32"/>
          <w:szCs w:val="32"/>
          <w:lang w:val="en-US" w:eastAsia="zh-CN"/>
        </w:rPr>
      </w:pPr>
      <w:bookmarkStart w:id="0" w:name="_GoBack"/>
      <w:r>
        <w:rPr>
          <w:rFonts w:hint="eastAsia" w:ascii="宋体" w:hAnsi="宋体" w:eastAsia="宋体" w:cs="Times New Roman"/>
          <w:color w:val="000000"/>
          <w:sz w:val="32"/>
          <w:szCs w:val="32"/>
          <w:lang w:val="en-US" w:eastAsia="zh-CN"/>
        </w:rPr>
        <w:t>医学检验技术专业开办于2006年，2011年成为中央财政支持高等职业学校建设发展专业，至今已有13年办学历史，累计培养毕业生2000余名，近年来就业率均保持在95%以上，部分毕业生已成为基层医疗卫生行业技术骨干。</w:t>
      </w:r>
    </w:p>
    <w:p w14:paraId="1F65525C">
      <w:pPr>
        <w:spacing w:line="360" w:lineRule="auto"/>
        <w:ind w:firstLine="640" w:firstLineChars="200"/>
        <w:rPr>
          <w:b/>
          <w:sz w:val="36"/>
          <w:szCs w:val="36"/>
        </w:rPr>
      </w:pPr>
      <w:r>
        <w:rPr>
          <w:rFonts w:hint="eastAsia" w:ascii="宋体" w:hAnsi="宋体" w:eastAsia="宋体" w:cs="Times New Roman"/>
          <w:color w:val="000000"/>
          <w:sz w:val="32"/>
          <w:szCs w:val="32"/>
          <w:lang w:val="en-US" w:eastAsia="zh-CN"/>
        </w:rPr>
        <w:t>本专业现拥有院级精品在线开放课程4门教学资源。</w:t>
      </w:r>
      <w:r>
        <w:rPr>
          <w:rFonts w:hint="eastAsia" w:ascii="宋体" w:hAnsi="宋体" w:eastAsia="宋体" w:cs="Times New Roman"/>
          <w:color w:val="000000"/>
          <w:sz w:val="32"/>
          <w:szCs w:val="32"/>
          <w:lang w:val="en-US" w:eastAsia="zh-Hans"/>
        </w:rPr>
        <w:t>本专业教师团队</w:t>
      </w:r>
      <w:r>
        <w:rPr>
          <w:rFonts w:hint="eastAsia" w:ascii="宋体" w:hAnsi="宋体" w:eastAsia="宋体" w:cs="Times New Roman"/>
          <w:color w:val="000000"/>
          <w:sz w:val="32"/>
          <w:szCs w:val="32"/>
          <w:lang w:val="en-US" w:eastAsia="zh-CN"/>
        </w:rPr>
        <w:t>近五年指导学生参加省级检验检疫技能大赛、检验国赛获团体二等奖、三等奖、个人综合一等奖、二等奖等成绩；近五年</w:t>
      </w:r>
      <w:r>
        <w:rPr>
          <w:rFonts w:hint="eastAsia" w:ascii="宋体" w:hAnsi="宋体" w:eastAsia="宋体" w:cs="Times New Roman"/>
          <w:color w:val="000000"/>
          <w:sz w:val="32"/>
          <w:szCs w:val="32"/>
          <w:lang w:val="en-US" w:eastAsia="zh-Hans"/>
        </w:rPr>
        <w:t>检验教师</w:t>
      </w:r>
      <w:r>
        <w:rPr>
          <w:rFonts w:hint="eastAsia" w:ascii="宋体" w:hAnsi="宋体" w:eastAsia="宋体" w:cs="Times New Roman"/>
          <w:color w:val="000000"/>
          <w:sz w:val="32"/>
          <w:szCs w:val="32"/>
          <w:lang w:val="en-US" w:eastAsia="zh-CN"/>
        </w:rPr>
        <w:t>参加全国职院校教师检验技能竞赛，获一等奖、二等奖、三等奖等成绩；近三年，</w:t>
      </w:r>
      <w:bookmarkEnd w:id="0"/>
      <w:r>
        <w:rPr>
          <w:rFonts w:hint="eastAsia" w:ascii="宋体" w:hAnsi="宋体" w:eastAsia="宋体" w:cs="Times New Roman"/>
          <w:color w:val="000000"/>
          <w:sz w:val="32"/>
          <w:szCs w:val="32"/>
          <w:lang w:val="en-US" w:eastAsia="zh-CN"/>
        </w:rPr>
        <w:t>团队中7位校内教师均有行业锻炼经历。</w:t>
      </w:r>
    </w:p>
    <w:p w14:paraId="6A457BAA"/>
    <w:p w14:paraId="57FC2082">
      <w:pPr>
        <w:spacing w:line="360" w:lineRule="auto"/>
        <w:jc w:val="center"/>
        <w:rPr>
          <w:rFonts w:hint="eastAsia"/>
          <w:sz w:val="28"/>
          <w:szCs w:val="28"/>
        </w:rPr>
      </w:pPr>
      <w:r>
        <w:rPr>
          <w:sz w:val="28"/>
          <w:szCs w:val="28"/>
        </w:rPr>
        <w:drawing>
          <wp:inline distT="0" distB="0" distL="0" distR="0">
            <wp:extent cx="2209800" cy="1524000"/>
            <wp:effectExtent l="88900" t="19685" r="48260" b="1022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209797" cy="152399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drawing>
          <wp:inline distT="0" distB="0" distL="0" distR="0">
            <wp:extent cx="2252345" cy="1529080"/>
            <wp:effectExtent l="88900" t="34925" r="46355" b="112395"/>
            <wp:docPr id="19" name="图片 18" descr="/Users/liuyidi/Desktop/WechatIMG4.jpegWechatIM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Users/liuyidi/Desktop/WechatIMG4.jpegWechatIMG4"/>
                    <pic:cNvPicPr>
                      <a:picLocks noChangeAspect="1"/>
                    </pic:cNvPicPr>
                  </pic:nvPicPr>
                  <pic:blipFill>
                    <a:blip r:embed="rId5"/>
                    <a:srcRect/>
                    <a:stretch>
                      <a:fillRect/>
                    </a:stretch>
                  </pic:blipFill>
                  <pic:spPr>
                    <a:xfrm>
                      <a:off x="0" y="0"/>
                      <a:ext cx="2252345" cy="153334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4952BEA">
      <w:pPr>
        <w:spacing w:line="360" w:lineRule="auto"/>
        <w:jc w:val="center"/>
        <w:rPr>
          <w:rFonts w:hint="eastAsia" w:ascii="宋体" w:hAnsi="宋体" w:eastAsia="宋体" w:cs="Times New Roman"/>
          <w:b/>
          <w:sz w:val="28"/>
          <w:szCs w:val="28"/>
        </w:rPr>
      </w:pPr>
      <w:r>
        <w:rPr>
          <w:sz w:val="28"/>
          <w:szCs w:val="28"/>
        </w:rPr>
        <w:drawing>
          <wp:inline distT="0" distB="0" distL="0" distR="0">
            <wp:extent cx="2390775" cy="1682115"/>
            <wp:effectExtent l="0" t="0" r="22225" b="196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391343" cy="1682677"/>
                    </a:xfrm>
                    <a:prstGeom prst="rect">
                      <a:avLst/>
                    </a:prstGeom>
                    <a:noFill/>
                  </pic:spPr>
                </pic:pic>
              </a:graphicData>
            </a:graphic>
          </wp:inline>
        </w:drawing>
      </w:r>
      <w:r>
        <w:rPr>
          <w:sz w:val="28"/>
          <w:szCs w:val="28"/>
        </w:rPr>
        <w:drawing>
          <wp:inline distT="0" distB="0" distL="0" distR="0">
            <wp:extent cx="2381250" cy="16764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383433" cy="1677937"/>
                    </a:xfrm>
                    <a:prstGeom prst="rect">
                      <a:avLst/>
                    </a:prstGeom>
                    <a:noFill/>
                  </pic:spPr>
                </pic:pic>
              </a:graphicData>
            </a:graphic>
          </wp:inline>
        </w:drawing>
      </w:r>
    </w:p>
    <w:p w14:paraId="11353747">
      <w:pPr>
        <w:spacing w:line="360" w:lineRule="auto"/>
        <w:jc w:val="left"/>
        <w:rPr>
          <w:rFonts w:hint="eastAsia" w:ascii="宋体" w:hAnsi="宋体" w:eastAsia="宋体" w:cs="Times New Roman"/>
          <w:b/>
          <w:sz w:val="28"/>
          <w:szCs w:val="28"/>
        </w:rPr>
      </w:pPr>
    </w:p>
    <w:p w14:paraId="42D887AB">
      <w:pPr>
        <w:pStyle w:val="2"/>
        <w:rPr>
          <w:rFonts w:hint="eastAsia"/>
          <w:lang w:val="en-US" w:eastAsia="zh-CN"/>
        </w:rPr>
      </w:pPr>
    </w:p>
    <w:p w14:paraId="3291E815">
      <w:pPr>
        <w:keepNext w:val="0"/>
        <w:keepLines w:val="0"/>
        <w:widowControl/>
        <w:suppressLineNumbers w:val="0"/>
        <w:ind w:firstLine="420" w:firstLineChars="200"/>
        <w:jc w:val="left"/>
        <w:rPr>
          <w:rFonts w:hint="eastAsia" w:ascii="宋体" w:hAnsi="宋体" w:eastAsia="宋体" w:cs="Times New Roman"/>
          <w:b/>
          <w:sz w:val="28"/>
          <w:szCs w:val="28"/>
        </w:rPr>
      </w:pPr>
      <w:r>
        <w:drawing>
          <wp:inline distT="0" distB="0" distL="114300" distR="114300">
            <wp:extent cx="5267325" cy="1775460"/>
            <wp:effectExtent l="0" t="0" r="15875"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267325" cy="1775460"/>
                    </a:xfrm>
                    <a:prstGeom prst="rect">
                      <a:avLst/>
                    </a:prstGeom>
                    <a:noFill/>
                    <a:ln>
                      <a:noFill/>
                    </a:ln>
                  </pic:spPr>
                </pic:pic>
              </a:graphicData>
            </a:graphic>
          </wp:inline>
        </w:drawing>
      </w:r>
    </w:p>
    <w:p w14:paraId="05AB7E1E">
      <w:pPr>
        <w:spacing w:line="360" w:lineRule="auto"/>
        <w:jc w:val="left"/>
        <w:rPr>
          <w:rFonts w:hint="eastAsia" w:ascii="宋体" w:hAnsi="宋体" w:eastAsia="宋体" w:cs="Times New Roman"/>
          <w:b/>
          <w:sz w:val="28"/>
          <w:szCs w:val="28"/>
        </w:rPr>
      </w:pPr>
    </w:p>
    <w:p w14:paraId="278D30D0">
      <w:pPr>
        <w:spacing w:line="360" w:lineRule="auto"/>
        <w:ind w:firstLine="562" w:firstLineChars="200"/>
        <w:jc w:val="left"/>
        <w:rPr>
          <w:sz w:val="28"/>
          <w:szCs w:val="28"/>
        </w:rPr>
      </w:pPr>
      <w:r>
        <w:rPr>
          <w:rFonts w:hint="eastAsia" w:ascii="宋体" w:hAnsi="宋体" w:eastAsia="宋体" w:cs="Times New Roman"/>
          <w:b/>
          <w:sz w:val="28"/>
          <w:szCs w:val="28"/>
        </w:rPr>
        <w:t>培养目标</w:t>
      </w:r>
    </w:p>
    <w:p w14:paraId="160EA80D">
      <w:pPr>
        <w:spacing w:line="360" w:lineRule="auto"/>
        <w:ind w:firstLine="560" w:firstLineChars="200"/>
        <w:rPr>
          <w:rFonts w:hint="eastAsia" w:ascii="宋体" w:hAnsi="Calibri" w:eastAsia="宋体" w:cs="Times New Roman"/>
          <w:color w:val="000000"/>
          <w:kern w:val="0"/>
          <w:sz w:val="28"/>
          <w:szCs w:val="28"/>
        </w:rPr>
      </w:pPr>
      <w:r>
        <w:rPr>
          <w:rFonts w:hint="eastAsia" w:ascii="宋体" w:hAnsi="宋体" w:eastAsia="宋体" w:cs="Times New Roman"/>
          <w:color w:val="000000"/>
          <w:sz w:val="28"/>
          <w:szCs w:val="28"/>
          <w:lang w:val="en-US" w:eastAsia="zh-CN"/>
        </w:rPr>
        <w:t>培养品德高尚、基础扎实、技能熟练、素质全面，具备医学基本理论、基本知识和医学检验的专业基本技能，能胜任各级各类医疗卫生部门从事医学检验及医学类实验室工作</w:t>
      </w:r>
      <w:r>
        <w:rPr>
          <w:rFonts w:hint="eastAsia" w:ascii="宋体" w:hAnsi="宋体" w:eastAsia="宋体" w:cs="Times New Roman"/>
          <w:color w:val="000000"/>
          <w:kern w:val="0"/>
          <w:sz w:val="28"/>
          <w:szCs w:val="28"/>
        </w:rPr>
        <w:t>的高素质技能型人才。</w:t>
      </w:r>
    </w:p>
    <w:p w14:paraId="54FA825B">
      <w:pPr>
        <w:ind w:left="561" w:leftChars="267" w:firstLine="0" w:firstLineChars="0"/>
        <w:jc w:val="left"/>
        <w:rPr>
          <w:rFonts w:hint="eastAsia" w:ascii="宋体" w:hAnsi="宋体" w:eastAsia="宋体" w:cs="Times New Roman"/>
          <w:b/>
          <w:sz w:val="28"/>
          <w:szCs w:val="28"/>
          <w:lang w:val="en-US" w:eastAsia="zh-CN"/>
        </w:rPr>
      </w:pPr>
      <w:r>
        <w:rPr>
          <w:rFonts w:hint="eastAsia" w:ascii="宋体" w:hAnsi="宋体" w:eastAsia="宋体" w:cs="Times New Roman"/>
          <w:b/>
          <w:sz w:val="28"/>
          <w:szCs w:val="28"/>
        </w:rPr>
        <w:t>师资</w:t>
      </w:r>
      <w:r>
        <w:rPr>
          <w:rFonts w:hint="eastAsia" w:ascii="宋体" w:hAnsi="宋体" w:eastAsia="宋体" w:cs="Times New Roman"/>
          <w:b/>
          <w:sz w:val="28"/>
          <w:szCs w:val="28"/>
          <w:lang w:val="en-US" w:eastAsia="zh-CN"/>
        </w:rPr>
        <w:t>队伍</w:t>
      </w:r>
    </w:p>
    <w:p w14:paraId="26D2CB31">
      <w:pPr>
        <w:spacing w:line="360" w:lineRule="auto"/>
        <w:ind w:firstLine="560" w:firstLineChars="200"/>
        <w:rPr>
          <w:rFonts w:hint="eastAsia" w:asciiTheme="minorEastAsia" w:hAnsiTheme="minorEastAsia"/>
          <w:sz w:val="28"/>
          <w:szCs w:val="28"/>
        </w:rPr>
      </w:pPr>
      <w:r>
        <w:rPr>
          <w:rFonts w:hint="eastAsia" w:asciiTheme="minorEastAsia" w:hAnsiTheme="minorEastAsia"/>
          <w:sz w:val="28"/>
          <w:szCs w:val="28"/>
        </w:rPr>
        <w:t>专业现有专任教师15名，其中教授1名，副教授1名，硕士研究生</w:t>
      </w:r>
      <w:r>
        <w:rPr>
          <w:rFonts w:hint="default" w:asciiTheme="minorEastAsia" w:hAnsiTheme="minorEastAsia"/>
          <w:sz w:val="28"/>
          <w:szCs w:val="28"/>
        </w:rPr>
        <w:t>4</w:t>
      </w:r>
      <w:r>
        <w:rPr>
          <w:rFonts w:hint="eastAsia" w:asciiTheme="minorEastAsia" w:hAnsiTheme="minorEastAsia"/>
          <w:sz w:val="28"/>
          <w:szCs w:val="28"/>
        </w:rPr>
        <w:t>名，双师素质教师比例达</w:t>
      </w:r>
      <w:r>
        <w:rPr>
          <w:rFonts w:hint="default" w:asciiTheme="minorEastAsia" w:hAnsiTheme="minorEastAsia"/>
          <w:sz w:val="28"/>
          <w:szCs w:val="28"/>
        </w:rPr>
        <w:t>9</w:t>
      </w:r>
      <w:r>
        <w:rPr>
          <w:rFonts w:hint="eastAsia" w:asciiTheme="minorEastAsia" w:hAnsiTheme="minorEastAsia"/>
          <w:sz w:val="28"/>
          <w:szCs w:val="28"/>
        </w:rPr>
        <w:t>0%，35岁以下青年教师占比60%，兼职教师5名，专兼结构合理，有较强发展后劲。</w:t>
      </w:r>
    </w:p>
    <w:p w14:paraId="38CC1811">
      <w:pPr>
        <w:ind w:firstLine="562" w:firstLineChars="200"/>
        <w:jc w:val="left"/>
        <w:rPr>
          <w:rFonts w:hint="eastAsia" w:ascii="宋体" w:hAnsi="宋体" w:eastAsia="宋体" w:cs="Times New Roman"/>
          <w:b/>
          <w:sz w:val="28"/>
          <w:szCs w:val="28"/>
          <w:lang w:val="en-US" w:eastAsia="zh-Hans"/>
        </w:rPr>
      </w:pPr>
      <w:r>
        <w:rPr>
          <w:rFonts w:hint="eastAsia" w:ascii="宋体" w:hAnsi="宋体" w:eastAsia="宋体" w:cs="Times New Roman"/>
          <w:b/>
          <w:sz w:val="28"/>
          <w:szCs w:val="28"/>
          <w:lang w:val="en-US" w:eastAsia="zh-Hans"/>
        </w:rPr>
        <w:t>课程设置</w:t>
      </w:r>
    </w:p>
    <w:p w14:paraId="2FD9C363">
      <w:pPr>
        <w:spacing w:line="360" w:lineRule="auto"/>
        <w:ind w:firstLine="560" w:firstLineChars="200"/>
        <w:rPr>
          <w:rFonts w:hint="eastAsia" w:asciiTheme="minorEastAsia" w:hAnsiTheme="minorEastAsia"/>
          <w:sz w:val="28"/>
          <w:szCs w:val="28"/>
          <w:lang w:val="en-US" w:eastAsia="zh-Hans"/>
        </w:rPr>
      </w:pPr>
      <w:r>
        <w:rPr>
          <w:rFonts w:hint="eastAsia" w:asciiTheme="minorEastAsia" w:hAnsiTheme="minorEastAsia"/>
          <w:sz w:val="28"/>
          <w:szCs w:val="28"/>
          <w:lang w:val="en-US" w:eastAsia="zh-Hans"/>
        </w:rPr>
        <w:t>专业主修课程包括正常人体结构与功能、基础化学、分析化学、生物化学、病理检验技术、临床疾病概要、临床基础检验、微生物学检验、生物化学检验、免疫学检验、血液学检验、寄生虫学检验、分子生物学检验、临床实验室管理、临床检验综合技能实训等。</w:t>
      </w:r>
    </w:p>
    <w:p w14:paraId="0C4319AA">
      <w:pPr>
        <w:ind w:firstLine="562" w:firstLineChars="200"/>
        <w:jc w:val="left"/>
        <w:rPr>
          <w:rFonts w:hint="eastAsia" w:ascii="宋体" w:hAnsi="宋体" w:eastAsia="宋体" w:cs="Times New Roman"/>
          <w:b/>
          <w:sz w:val="28"/>
          <w:szCs w:val="28"/>
          <w:lang w:val="en-US" w:eastAsia="zh-Hans"/>
        </w:rPr>
      </w:pPr>
      <w:r>
        <w:rPr>
          <w:rFonts w:hint="eastAsia" w:ascii="宋体" w:hAnsi="宋体" w:eastAsia="宋体" w:cs="Times New Roman"/>
          <w:b/>
          <w:sz w:val="28"/>
          <w:szCs w:val="28"/>
          <w:lang w:val="en-US" w:eastAsia="zh-Hans"/>
        </w:rPr>
        <w:t>实训设施</w:t>
      </w:r>
    </w:p>
    <w:p w14:paraId="4D4EAF7E">
      <w:pPr>
        <w:spacing w:line="360" w:lineRule="auto"/>
        <w:ind w:firstLine="560" w:firstLineChars="200"/>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t>医学检验技术实训室面积约 500 ㎡，设有临检室、 生化室、形态室、微生物室、无菌室等 6 个分室，拥有全自动生化分析仪、奥林巴斯显微镜、生物安全柜、血球仪、恒温培养箱、血气分析仪、等各类检验专业实训设备。能够完成医学检验技术专业及其相关专业的医学课程理论和实训教学。</w:t>
      </w:r>
    </w:p>
    <w:p w14:paraId="4D82B4E3">
      <w:pPr>
        <w:ind w:firstLine="562" w:firstLineChars="200"/>
        <w:jc w:val="left"/>
        <w:rPr>
          <w:rFonts w:hint="eastAsia" w:ascii="宋体" w:hAnsi="宋体" w:eastAsia="宋体" w:cs="Times New Roman"/>
          <w:b/>
          <w:sz w:val="28"/>
          <w:szCs w:val="28"/>
          <w:lang w:val="en-US" w:eastAsia="zh-Hans"/>
        </w:rPr>
      </w:pPr>
      <w:r>
        <w:rPr>
          <w:rFonts w:hint="eastAsia" w:ascii="宋体" w:hAnsi="宋体" w:eastAsia="宋体" w:cs="Times New Roman"/>
          <w:b/>
          <w:sz w:val="28"/>
          <w:szCs w:val="28"/>
          <w:lang w:val="en-US" w:eastAsia="zh-Hans"/>
        </w:rPr>
        <w:t>实习基地</w:t>
      </w:r>
    </w:p>
    <w:p w14:paraId="2E95E8DC">
      <w:pPr>
        <w:pStyle w:val="2"/>
        <w:ind w:firstLine="560" w:firstLineChars="200"/>
        <w:rPr>
          <w:rFonts w:hint="eastAsia" w:asciiTheme="minorEastAsia" w:hAnsiTheme="minorEastAsia" w:eastAsiaTheme="minorEastAsia" w:cstheme="minorBidi"/>
          <w:kern w:val="2"/>
          <w:sz w:val="28"/>
          <w:szCs w:val="28"/>
          <w:lang w:val="en-US" w:eastAsia="zh-Hans" w:bidi="ar-SA"/>
        </w:rPr>
      </w:pPr>
      <w:r>
        <w:rPr>
          <w:rFonts w:hint="eastAsia" w:asciiTheme="minorEastAsia" w:hAnsiTheme="minorEastAsia" w:eastAsiaTheme="minorEastAsia" w:cstheme="minorBidi"/>
          <w:kern w:val="2"/>
          <w:sz w:val="28"/>
          <w:szCs w:val="28"/>
          <w:lang w:val="en-US" w:eastAsia="zh-CN" w:bidi="ar-SA"/>
        </w:rPr>
        <w:t>现有铜仁市人民医院、贵阳市第二人民医院等</w:t>
      </w:r>
      <w:r>
        <w:rPr>
          <w:rFonts w:hint="eastAsia" w:asciiTheme="minorEastAsia" w:hAnsiTheme="minorEastAsia" w:eastAsiaTheme="minorEastAsia" w:cstheme="minorBidi"/>
          <w:kern w:val="2"/>
          <w:sz w:val="28"/>
          <w:szCs w:val="28"/>
          <w:lang w:val="en-US" w:eastAsia="zh-Hans" w:bidi="ar-SA"/>
        </w:rPr>
        <w:t>二</w:t>
      </w:r>
      <w:r>
        <w:rPr>
          <w:rFonts w:hint="eastAsia" w:asciiTheme="minorEastAsia" w:hAnsiTheme="minorEastAsia" w:eastAsiaTheme="minorEastAsia" w:cstheme="minorBidi"/>
          <w:kern w:val="2"/>
          <w:sz w:val="28"/>
          <w:szCs w:val="28"/>
          <w:lang w:val="en-US" w:eastAsia="zh-CN" w:bidi="ar-SA"/>
        </w:rPr>
        <w:t>级甲等以上实习医院 29所，开辟有川硐镇中心卫生院、迓驾镇中心卫生院等校企合作医院；能够满足本专业学生的实习认知和顶岗学习。</w:t>
      </w:r>
    </w:p>
    <w:p w14:paraId="1260AD16">
      <w:pPr>
        <w:ind w:firstLine="562" w:firstLineChars="200"/>
        <w:jc w:val="left"/>
        <w:rPr>
          <w:rFonts w:hint="eastAsia" w:ascii="宋体" w:hAnsi="宋体" w:eastAsia="宋体" w:cs="Times New Roman"/>
          <w:b/>
          <w:sz w:val="28"/>
          <w:szCs w:val="28"/>
          <w:lang w:val="en-US" w:eastAsia="zh-Hans"/>
        </w:rPr>
      </w:pPr>
      <w:r>
        <w:rPr>
          <w:rFonts w:hint="eastAsia" w:ascii="宋体" w:hAnsi="宋体" w:eastAsia="宋体" w:cs="Times New Roman"/>
          <w:b/>
          <w:sz w:val="28"/>
          <w:szCs w:val="28"/>
          <w:lang w:val="en-US" w:eastAsia="zh-Hans"/>
        </w:rPr>
        <w:t>就业方向</w:t>
      </w:r>
    </w:p>
    <w:p w14:paraId="7398AB2E">
      <w:pPr>
        <w:ind w:firstLine="560" w:firstLineChars="200"/>
        <w:rPr>
          <w:rFonts w:ascii="宋体" w:hAnsi="宋体" w:eastAsia="宋体" w:cs="Times New Roman"/>
          <w:b/>
          <w:sz w:val="28"/>
          <w:szCs w:val="28"/>
        </w:rPr>
      </w:pPr>
      <w:r>
        <w:rPr>
          <w:rFonts w:hint="eastAsia" w:ascii="宋体" w:hAnsi="宋体" w:eastAsia="宋体" w:cs="Times New Roman"/>
          <w:sz w:val="28"/>
          <w:szCs w:val="28"/>
        </w:rPr>
        <w:t>医院及社区卫生服务中心、血站、疾病预防控制中心、医学检验</w:t>
      </w:r>
    </w:p>
    <w:p w14:paraId="1473DBD7">
      <w:pPr>
        <w:rPr>
          <w:rFonts w:hint="eastAsia" w:ascii="宋体" w:hAnsi="宋体" w:eastAsia="宋体" w:cs="Times New Roman"/>
          <w:sz w:val="28"/>
          <w:szCs w:val="28"/>
        </w:rPr>
      </w:pPr>
      <w:r>
        <w:rPr>
          <w:rFonts w:hint="eastAsia" w:ascii="宋体" w:hAnsi="宋体" w:eastAsia="宋体" w:cs="Times New Roman"/>
          <w:sz w:val="28"/>
          <w:szCs w:val="28"/>
        </w:rPr>
        <w:t>器材营销与维修企业；医药、食品企业等从事检验和管理工作；相关行业从事检验仪器维修、营销及其他工作。</w:t>
      </w:r>
    </w:p>
    <w:p w14:paraId="35EBE82A">
      <w:pPr>
        <w:spacing w:line="360" w:lineRule="auto"/>
        <w:jc w:val="center"/>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eastAsia="zh-CN"/>
        </w:rPr>
        <w:drawing>
          <wp:inline distT="0" distB="0" distL="114300" distR="114300">
            <wp:extent cx="5101590" cy="6880860"/>
            <wp:effectExtent l="0" t="0" r="3810" b="7620"/>
            <wp:docPr id="5" name="图片 5" descr="检验教研室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检验教研室照片"/>
                    <pic:cNvPicPr>
                      <a:picLocks noChangeAspect="1"/>
                    </pic:cNvPicPr>
                  </pic:nvPicPr>
                  <pic:blipFill>
                    <a:blip r:embed="rId9"/>
                    <a:stretch>
                      <a:fillRect/>
                    </a:stretch>
                  </pic:blipFill>
                  <pic:spPr>
                    <a:xfrm>
                      <a:off x="0" y="0"/>
                      <a:ext cx="5101590" cy="688086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Q5MjY5NjMxMjdkNmIxNjEyZGViN2YxMjc5ZTQ0OTEifQ=="/>
    <w:docVar w:name="KSO_WPS_MARK_KEY" w:val="d6935dce-d713-4765-a360-09e8534be126"/>
  </w:docVars>
  <w:rsids>
    <w:rsidRoot w:val="006B2A28"/>
    <w:rsid w:val="0001719B"/>
    <w:rsid w:val="00096A54"/>
    <w:rsid w:val="000A53FB"/>
    <w:rsid w:val="001073A8"/>
    <w:rsid w:val="0014589D"/>
    <w:rsid w:val="001B1CC2"/>
    <w:rsid w:val="001C4596"/>
    <w:rsid w:val="002079EF"/>
    <w:rsid w:val="00216B9B"/>
    <w:rsid w:val="00252249"/>
    <w:rsid w:val="002C7DE9"/>
    <w:rsid w:val="00325989"/>
    <w:rsid w:val="00334AB1"/>
    <w:rsid w:val="00347490"/>
    <w:rsid w:val="00362A70"/>
    <w:rsid w:val="00370E38"/>
    <w:rsid w:val="003A6EDD"/>
    <w:rsid w:val="003E5649"/>
    <w:rsid w:val="00453B68"/>
    <w:rsid w:val="004A46CE"/>
    <w:rsid w:val="004E7ECB"/>
    <w:rsid w:val="004F5325"/>
    <w:rsid w:val="0050562F"/>
    <w:rsid w:val="0058109E"/>
    <w:rsid w:val="005829A5"/>
    <w:rsid w:val="005D7B49"/>
    <w:rsid w:val="00606978"/>
    <w:rsid w:val="0067407D"/>
    <w:rsid w:val="006B2A28"/>
    <w:rsid w:val="006B772E"/>
    <w:rsid w:val="006E4689"/>
    <w:rsid w:val="00741C66"/>
    <w:rsid w:val="00743178"/>
    <w:rsid w:val="00805385"/>
    <w:rsid w:val="00816487"/>
    <w:rsid w:val="0083742E"/>
    <w:rsid w:val="008374B8"/>
    <w:rsid w:val="008A3BA3"/>
    <w:rsid w:val="00917098"/>
    <w:rsid w:val="00980032"/>
    <w:rsid w:val="009B367A"/>
    <w:rsid w:val="009D73EC"/>
    <w:rsid w:val="00A1613B"/>
    <w:rsid w:val="00A32028"/>
    <w:rsid w:val="00A37283"/>
    <w:rsid w:val="00A90EEC"/>
    <w:rsid w:val="00AA794C"/>
    <w:rsid w:val="00AB737E"/>
    <w:rsid w:val="00AD048B"/>
    <w:rsid w:val="00AE2D60"/>
    <w:rsid w:val="00B15415"/>
    <w:rsid w:val="00B35F69"/>
    <w:rsid w:val="00C91034"/>
    <w:rsid w:val="00CC5138"/>
    <w:rsid w:val="00CD3DD5"/>
    <w:rsid w:val="00CF067A"/>
    <w:rsid w:val="00D50F8A"/>
    <w:rsid w:val="00DB1E74"/>
    <w:rsid w:val="00DB26F1"/>
    <w:rsid w:val="00DD0A38"/>
    <w:rsid w:val="00DF78CD"/>
    <w:rsid w:val="00EA08B0"/>
    <w:rsid w:val="00ED47C3"/>
    <w:rsid w:val="00F46111"/>
    <w:rsid w:val="00F65AB7"/>
    <w:rsid w:val="00F868B9"/>
    <w:rsid w:val="00FB27CE"/>
    <w:rsid w:val="0B7864D5"/>
    <w:rsid w:val="57FFDB81"/>
    <w:rsid w:val="63E57996"/>
    <w:rsid w:val="6976641B"/>
    <w:rsid w:val="7F3FF8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qFormat/>
    <w:uiPriority w:val="1"/>
  </w:style>
  <w:style w:type="table" w:default="1" w:styleId="5">
    <w:name w:val="Normal Table"/>
    <w:unhideWhenUsed/>
    <w:qFormat/>
    <w:uiPriority w:val="99"/>
    <w:tblPr>
      <w:tblCellMar>
        <w:top w:w="0" w:type="dxa"/>
        <w:left w:w="108" w:type="dxa"/>
        <w:bottom w:w="0" w:type="dxa"/>
        <w:right w:w="108" w:type="dxa"/>
      </w:tblCellMar>
    </w:tblPr>
  </w:style>
  <w:style w:type="paragraph" w:customStyle="1" w:styleId="2">
    <w:name w:val="Heading2"/>
    <w:basedOn w:val="3"/>
    <w:next w:val="1"/>
    <w:qFormat/>
    <w:uiPriority w:val="0"/>
    <w:pPr>
      <w:keepNext/>
      <w:keepLines/>
      <w:spacing w:line="560" w:lineRule="exact"/>
    </w:pPr>
    <w:rPr>
      <w:rFonts w:ascii="Times New Roman" w:hAnsi="Times New Roman" w:eastAsia="黑体"/>
      <w:kern w:val="0"/>
      <w:sz w:val="32"/>
      <w:szCs w:val="32"/>
    </w:rPr>
  </w:style>
  <w:style w:type="paragraph" w:customStyle="1" w:styleId="3">
    <w:name w:val="正文1"/>
    <w:next w:val="2"/>
    <w:qFormat/>
    <w:uiPriority w:val="0"/>
    <w:pPr>
      <w:widowControl w:val="0"/>
      <w:jc w:val="both"/>
      <w:textAlignment w:val="baseline"/>
    </w:pPr>
    <w:rPr>
      <w:rFonts w:ascii="Calibri" w:hAnsi="Calibri" w:eastAsia="仿宋_GB2312" w:cs="Times New Roman"/>
      <w:kern w:val="2"/>
      <w:sz w:val="36"/>
      <w:szCs w:val="22"/>
      <w:lang w:val="en-US" w:eastAsia="zh-CN" w:bidi="ar-SA"/>
    </w:rPr>
  </w:style>
  <w:style w:type="paragraph" w:styleId="4">
    <w:name w:val="Balloon Text"/>
    <w:basedOn w:val="1"/>
    <w:link w:val="7"/>
    <w:unhideWhenUsed/>
    <w:qFormat/>
    <w:uiPriority w:val="99"/>
    <w:rPr>
      <w:sz w:val="18"/>
      <w:szCs w:val="18"/>
    </w:rPr>
  </w:style>
  <w:style w:type="character" w:customStyle="1" w:styleId="7">
    <w:name w:val="批注框文本 Char"/>
    <w:basedOn w:val="6"/>
    <w:link w:val="4"/>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HP Inc.</Company>
  <Pages>4</Pages>
  <Words>832</Words>
  <Characters>853</Characters>
  <Lines>10</Lines>
  <Paragraphs>2</Paragraphs>
  <TotalTime>3</TotalTime>
  <ScaleCrop>false</ScaleCrop>
  <LinksUpToDate>false</LinksUpToDate>
  <CharactersWithSpaces>859</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2019-09-04T04:01:00Z</dcterms:created>
  <dc:creator>HP Inc.</dc:creator>
  <cp:lastModifiedBy>吉祥如意</cp:lastModifiedBy>
  <dcterms:modified xsi:type="dcterms:W3CDTF">2024-07-11T07:54:09Z</dcterms:modified>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54DF9346DB7E46FEA861C1C46A2B39B2_13</vt:lpwstr>
  </property>
</Properties>
</file>