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</w:t>
      </w:r>
      <w:r>
        <w:rPr>
          <w:rFonts w:hint="eastAsia" w:eastAsia="黑体" w:cs="Times New Roman"/>
          <w:b/>
          <w:sz w:val="36"/>
          <w:szCs w:val="36"/>
          <w:highlight w:val="none"/>
          <w:lang w:eastAsia="zh-CN"/>
        </w:rPr>
        <w:t>药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药学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口述操作步骤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1、四查十对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ab/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仿宋" w:cs="Times New Roman"/>
          <w:sz w:val="32"/>
          <w:szCs w:val="32"/>
        </w:rPr>
        <w:t>查处方，对科别、姓名、年龄；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查药品，对药名、剂型、规格、数量；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查配伍禁忌，对药品性状、用法用量；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查用药合理性，对临床诊断。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2、临床试验的分期及最低病例数要求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ab/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仿宋" w:cs="Times New Roman"/>
          <w:sz w:val="32"/>
          <w:szCs w:val="32"/>
        </w:rPr>
        <w:t>Ⅰ期临床试验：初步的临床药理学及人体安全性评价试验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eastAsia="仿宋" w:cs="Times New Roman"/>
          <w:sz w:val="32"/>
          <w:szCs w:val="32"/>
          <w:lang w:val="en-US" w:eastAsia="zh-CN"/>
        </w:rPr>
        <w:t>~</w:t>
      </w:r>
      <w:r>
        <w:rPr>
          <w:rFonts w:hint="eastAsia" w:ascii="Times New Roman" w:hAnsi="Times New Roman" w:eastAsia="仿宋" w:cs="Times New Roman"/>
          <w:sz w:val="32"/>
          <w:szCs w:val="32"/>
        </w:rPr>
        <w:t>30例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II期临床试验： 治疗作用初步评价阶段；初步评价治疗作用和安全性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 w:cs="Times New Roman"/>
          <w:sz w:val="32"/>
          <w:szCs w:val="32"/>
        </w:rPr>
        <w:t xml:space="preserve">100例  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III期临床试验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</w:rPr>
        <w:t xml:space="preserve">治疗作用确证阶段 300例 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IV期临床试验：新药上市后由申请人进行的应用研究阶段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 w:cs="Times New Roman"/>
          <w:sz w:val="32"/>
          <w:szCs w:val="32"/>
        </w:rPr>
        <w:t>2000例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 w:cs="Times New Roman"/>
          <w:sz w:val="32"/>
          <w:szCs w:val="32"/>
        </w:rPr>
        <w:t xml:space="preserve"> 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抗结核药的应用原则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ab/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仿宋" w:cs="Times New Roman"/>
          <w:sz w:val="32"/>
          <w:szCs w:val="32"/>
        </w:rPr>
        <w:t>早期用药:早期病灶内结核菌生长旺盛，对药物敏感，同时病灶部位血液供应丰富，药物易于渗入病灶内；早期机体防御功能较强，组织修复功能好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 xml:space="preserve"> 联合用药: 目的是提高疗效、降低毒性、延缓耐药性，并可交叉消灭其他药物的耐药菌株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用药剂量要适当:药量不足：达不到疗效，诱发细菌产生耐药性；药量过大：造成各种不良反应甚至严重的毒性反应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坚持全程规律用药:坚持全程化疗，严格遵守化疗方案中的给药次数和间隔时间，降低复发率和耐药率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4、有机磷酸酯类急性中毒的解救步骤</w:t>
      </w:r>
      <w:r>
        <w:rPr>
          <w:rFonts w:hint="eastAsia" w:ascii="Times New Roman" w:hAnsi="Times New Roman" w:eastAsia="仿宋" w:cs="Times New Roman"/>
          <w:sz w:val="32"/>
          <w:szCs w:val="32"/>
        </w:rPr>
        <w:tab/>
      </w:r>
      <w:r>
        <w:rPr>
          <w:rFonts w:hint="eastAsia" w:ascii="Times New Roman" w:hAnsi="Times New Roman" w:eastAsia="仿宋" w:cs="Times New Roman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迅速消除毒物：减少毒物吸收，加速其排泄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积极使用特殊解毒药阿托品和胆碱酯酶复活剂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解毒药物的应用原则：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①</w:t>
      </w:r>
      <w:r>
        <w:rPr>
          <w:rFonts w:hint="eastAsia" w:ascii="Times New Roman" w:hAnsi="Times New Roman" w:eastAsia="仿宋" w:cs="Times New Roman"/>
          <w:sz w:val="32"/>
          <w:szCs w:val="32"/>
        </w:rPr>
        <w:t>联合用药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；②</w:t>
      </w:r>
      <w:r>
        <w:rPr>
          <w:rFonts w:hint="eastAsia" w:ascii="Times New Roman" w:hAnsi="Times New Roman" w:eastAsia="仿宋" w:cs="Times New Roman"/>
          <w:sz w:val="32"/>
          <w:szCs w:val="32"/>
        </w:rPr>
        <w:t>尽早用药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；③</w:t>
      </w:r>
      <w:r>
        <w:rPr>
          <w:rFonts w:hint="eastAsia" w:ascii="Times New Roman" w:hAnsi="Times New Roman" w:eastAsia="仿宋" w:cs="Times New Roman"/>
          <w:sz w:val="32"/>
          <w:szCs w:val="32"/>
        </w:rPr>
        <w:t>足量用药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；④</w:t>
      </w:r>
      <w:r>
        <w:rPr>
          <w:rFonts w:hint="eastAsia" w:ascii="Times New Roman" w:hAnsi="Times New Roman" w:eastAsia="仿宋" w:cs="Times New Roman"/>
          <w:sz w:val="32"/>
          <w:szCs w:val="32"/>
        </w:rPr>
        <w:t>重复用药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对症治疗：人工呼吸、给氧、抗惊厥、抗休克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5、旋转式压片机模具的安装步骤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）冲模安装前准备工作：拆下料斗、加料器。打开右门，转动手轮清洁转台工作面、模孔和所需要安装冲模。旋转压力调节手轮，将压力调到最小，拆下下冲装卸轨。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中模安装：将转台上中模紧固螺钉旋出转台外围1毫米左右，勿使中模装入时与螺钉的头部相碰为宜。中模装置较紧，放置时要平稳，将打棒穿入上冲孔，然后轻轻打入。中模进入模孔后，其平面不高出转台平面为合格，然后将螺钉固紧。重复以上工作方法安装中模完成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）上冲安装: 首先将嵌舌拆下，将冲杆擦拭干净然后将上冲杆插入孔内，用大拇指和食指旋转冲杆，检验头部进入中模上下滑动的灵活性，无卡阻现象为合格。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再转动手轮至冲杆颈部接触平行轨。上冲杆全部装毕，将嵌舌装上。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）下冲安装：下冲的安装按上冲安装的方法安装，装毕将下冲卸轨装上。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）冲模安装完毕，转动手轮，使转台旋转2周，观察上下冲杆进入中模孔及在轨道上运行情况。无碰撞和卡阻现象为合格。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>影响药物效应的主要因素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）机体方面因素：年龄、性别、遗传因素、病理状态、精神因素等。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）药物方面因素：剂量、药物剂型、给药途径、用药时间和次数、药物相互作用等。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>青霉素类药物使用注意事项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ab/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）详细询问过敏史，对青霉素过敏者禁用；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）询问用药史：是否用过该类药物；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）皮试：初次使用用药间隔24h以上或换批号均需要皮试，反应阳性不能使用；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）临用时新鲜配置；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）使用前备好急救药品级急救设备；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）每次用药后需观察30分钟，无反应方可离开；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）过敏性休克一旦发生，立即停用，立即皮下注射或肌肉注射肾上腺素，必要时加入糖皮质激素和抗组胺药，同时采取其他急救措施。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8、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>处方调配的步骤和注意事项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ab/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）仔细阅读处方：用法用量是否与瓶签或药袋一致；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）有次序调配，防止杂乱无章，急诊处方随到随配；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）严格遵守操作规程，称量准确，数片无误；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）仔细查对姓名。年龄、药名、含量及用法用量；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）药师调剂处方必须做到“四查十对”：查处方，对科别、姓名、年龄；查药品，对药名、剂型、规格、数量；查配伍禁忌，对药品性状、用法用量；查用药合理性，对临床诊断。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9、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>药品不良反应定义、类型、报告及监测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ab/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）指的是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这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个药品在正常用法用量下出现的与用药目的务管理的有害反应，是药三分毒，任何药品都有可能引起不良反应；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）A、B、C型或副作用、毒性反应、后遗效应、过敏反应、特异质反应等；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）药品生产、经营企业和医疗机构应当主动收集药品不良反应，并详细记录、分析和处理。</w:t>
      </w:r>
    </w:p>
    <w:p>
      <w:pPr>
        <w:spacing w:line="360" w:lineRule="auto"/>
        <w:ind w:firstLine="643" w:firstLineChars="200"/>
        <w:jc w:val="left"/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10、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>处方书写规则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）每张处方仅限于一名患者用药，每张处方不得超过5种药品，中药饮片单独开具 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）处方字迹清楚，不得涂改；如需修改，须在修改处签名并注明修改日期。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）药品用法用量应当按照药品说明书规定的常规用法用量使用，特殊情况需要超剂量使用时，应当注明原因并再次签名。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）开具处方后的空白处划一斜线，以示处方完毕。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）处方一般不得超过7日用量；急诊处方一般不得超过3日用量。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）处方用量延长应当注明理由。抗菌药物（抗结核药除外）及特殊管理药品不宜延长处方量。</w:t>
      </w:r>
    </w:p>
    <w:p>
      <w:pPr>
        <w:spacing w:line="360" w:lineRule="auto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）麻醉药品、精神药品、医疗用毒性药品、易制毒化学品、放射性药品、抗菌药物等的使用应当严格执行国家有关规定。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mFlY2E0OTJiNzJlNDg4MjJiYmM1YTdjY2NmZjQifQ=="/>
  </w:docVars>
  <w:rsids>
    <w:rsidRoot w:val="6A473592"/>
    <w:rsid w:val="10231174"/>
    <w:rsid w:val="1A667F2B"/>
    <w:rsid w:val="2005658B"/>
    <w:rsid w:val="302F6D2A"/>
    <w:rsid w:val="37560527"/>
    <w:rsid w:val="3F305DD6"/>
    <w:rsid w:val="3FF8248F"/>
    <w:rsid w:val="41504E33"/>
    <w:rsid w:val="4E436B63"/>
    <w:rsid w:val="693C3AD3"/>
    <w:rsid w:val="6A473592"/>
    <w:rsid w:val="711A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6</TotalTime>
  <ScaleCrop>false</ScaleCrop>
  <LinksUpToDate>false</LinksUpToDate>
  <CharactersWithSpaces>1398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creep</cp:lastModifiedBy>
  <dcterms:modified xsi:type="dcterms:W3CDTF">2023-11-30T08:10:10Z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4FCD31ADCB91470A9415EAD042CDCF10_13</vt:lpwstr>
  </property>
</Properties>
</file>