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附件3</w:t>
      </w:r>
    </w:p>
    <w:p>
      <w:pPr>
        <w:widowControl/>
        <w:adjustRightInd w:val="0"/>
        <w:snapToGrid w:val="0"/>
        <w:jc w:val="center"/>
        <w:rPr>
          <w:rFonts w:hint="eastAsia" w:ascii="方正小标宋简体" w:hAnsi="-webkit-standard" w:eastAsia="方正小标宋简体" w:cs="-webkit-standard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b w:val="0"/>
          <w:bCs/>
          <w:color w:val="000000"/>
          <w:sz w:val="44"/>
          <w:szCs w:val="44"/>
        </w:rPr>
        <w:t>校级混合式“金课”建设标准（试行）</w:t>
      </w:r>
    </w:p>
    <w:bookmarkEnd w:id="0"/>
    <w:tbl>
      <w:tblPr>
        <w:tblStyle w:val="6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740"/>
        <w:gridCol w:w="5037"/>
        <w:gridCol w:w="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Header/>
          <w:jc w:val="center"/>
        </w:trPr>
        <w:tc>
          <w:tcPr>
            <w:tcW w:w="6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8F8F8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000000"/>
              </w:rPr>
              <w:t>一级指标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8F8F8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000000"/>
              </w:rPr>
              <w:t>二级指标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8F8F8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000000"/>
              </w:rPr>
              <w:t>基本要求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8F8F8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hAnsi="方正仿宋_GBK" w:eastAsia="仿宋_GB2312" w:cs="方正仿宋_GBK"/>
                <w:b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b/>
                <w:color w:val="000000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 课程团队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1-1 课程负责人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具有丰富的教学经验和较高学术造诣，教学水平高，在推进课程教学改革中投入精力大，有一定影响度。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1-2 团队成员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主讲教师师德好、教学能力强，教学表现力强，课程团队结构合理，团队教师有线上课程建设经验。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6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 课程教学设计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2-1</w:t>
            </w:r>
            <w:r>
              <w:rPr>
                <w:rFonts w:ascii="仿宋_GB2312" w:hAnsi="方正仿宋_GBK" w:eastAsia="仿宋_GB2312" w:cs="方正仿宋_GBK"/>
                <w:color w:val="000000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高阶性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课程教学设计包含知识、能力、素质有机融合，培养学生解决复杂问题的综合能力和高级思维。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2-2</w:t>
            </w:r>
            <w:r>
              <w:rPr>
                <w:rFonts w:ascii="仿宋_GB2312" w:hAnsi="方正仿宋_GBK" w:eastAsia="仿宋_GB2312" w:cs="方正仿宋_GBK"/>
                <w:color w:val="000000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创新性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课程内容有前沿性和时代性并持续更新，教学形式体现先进性、多样性和互动性，充分利用线上课程资源，合理设计线下授课和线上学习的各个环节，体现线上资源和线下课堂相结合的优势。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2-3</w:t>
            </w:r>
            <w:r>
              <w:rPr>
                <w:rFonts w:ascii="仿宋_GB2312" w:hAnsi="方正仿宋_GBK" w:eastAsia="仿宋_GB2312" w:cs="方正仿宋_GBK"/>
                <w:color w:val="000000"/>
              </w:rPr>
              <w:t xml:space="preserve">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挑战度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课程具有一定的难度，能激发学生发挥潜能对所学知识进行融会贯通和拓展应用，培养创新性思维和批判性思维。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 课程内容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3-1 思想性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坚持立德树人，将思想政治教育内化为课程内容，弘扬社会主义核心价值观，体现课程思政育人宗旨。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3-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2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 xml:space="preserve"> 科学性、先进性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课程内容规范完整，体现前沿性和时代性，反映专业最新发展成果和教改教研成果，具有较高的科学性，内容更新和完善及时。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3-</w:t>
            </w:r>
            <w:r>
              <w:rPr>
                <w:rFonts w:ascii="仿宋_GB2312" w:hAnsi="方正仿宋_GBK" w:eastAsia="仿宋_GB2312" w:cs="方正仿宋_GBK"/>
                <w:color w:val="000000"/>
              </w:rPr>
              <w:t xml:space="preserve">3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目标导向性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针对培养方案中的“毕业要求”合理设置课程内容，明确课程的具体目标导向，目标与内容相一致，内容支持目标。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3-</w:t>
            </w:r>
            <w:r>
              <w:rPr>
                <w:rFonts w:ascii="仿宋_GB2312" w:hAnsi="方正仿宋_GBK" w:eastAsia="仿宋_GB2312" w:cs="方正仿宋_GBK"/>
                <w:color w:val="000000"/>
              </w:rPr>
              <w:t xml:space="preserve">4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适当性、多样性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课程内容及教学环节配置丰富、多样，深浅度合理，内容更新和完善及时，考试难易度适当，有区分度。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 课程资源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4-1基本资源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在网络教学平台上建有能反映课程教学思想、教学内容、教学方法、教学过程的资源，包括课程介绍、团队简介、课程章节设计、教学视频、作业等。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否决性指标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643" w:type="pct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4-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2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 xml:space="preserve"> 教学视频（自建线上课程适用）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1学分不少于8个教学视频，每个教学视频时长建议5-15分钟。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否决性指标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4-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3</w:t>
            </w:r>
            <w:r>
              <w:rPr>
                <w:rFonts w:ascii="Cambria" w:hAnsi="Cambria" w:eastAsia="仿宋_GB2312" w:cs="Cambria"/>
                <w:color w:val="000000"/>
              </w:rPr>
              <w:t xml:space="preserve"> 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引进资源（引进线上课程适用）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所选用的线上课程资源为省级以上精品在线开放课程资源，优先推荐使用国家级。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否决性指标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4-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4</w:t>
            </w:r>
            <w:r>
              <w:rPr>
                <w:rFonts w:ascii="Cambria" w:hAnsi="Cambria" w:eastAsia="仿宋_GB2312" w:cs="Cambria"/>
                <w:color w:val="000000"/>
              </w:rPr>
              <w:t xml:space="preserve"> 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题库建设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自建有一定创新性或挑战性的配套测验题，非重复习题总数不少于150题。每个教学模块须增加开放式/非标准答案测验题、案例题、讨论题等综合应用题，每学分不少于2个综合应用题。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0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 教学活动与教师指导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5-1 团队服务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按照教学计划和要求为学习者提供测验、作业、考试、答疑、讨论等教学活动，及时开展有效的指导与测评。线上辅导互动、答疑时间不得少于线上分配学时。</w:t>
            </w:r>
          </w:p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有效支撑课堂互动的完整讨论话题。每周教学活动不少于2个讨论话题，每个教学模块不少于2个测验题，学期内不少于2次综合测试。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5-2 学习者活动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课堂教学过程响应度高，师生互动充分。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5-3 授课安排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安排教学任务，必须明确线上、线下教学进程安排的具体周次，课堂面授的课时比例不得低于总课时的二分之一。第一次授课须安排在实体教室进行，由主讲教师向学生介绍课程教学安排、学习要求、学习方法及考核要求等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否决性指标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6 应用效果与影响</w:t>
            </w: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6-1 质量评价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近2年内的课程教学评教结论为良好及以上，同行及学生评价度高。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6-2 课程应用情况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将在线课程与课堂教学结合，推动教学方法改革，有效提高教学质量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216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6-3</w:t>
            </w:r>
            <w:r>
              <w:rPr>
                <w:rFonts w:ascii="仿宋_GB2312" w:hAnsi="方正仿宋_GBK" w:eastAsia="仿宋_GB2312" w:cs="方正仿宋_GBK"/>
                <w:color w:val="000000"/>
              </w:rPr>
              <w:t xml:space="preserve">  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持续改进情况</w:t>
            </w:r>
          </w:p>
        </w:tc>
        <w:tc>
          <w:tcPr>
            <w:tcW w:w="2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课程根据教学效果反馈，对教学方式、课程内容、考试、答疑等进行持续改进。</w:t>
            </w:r>
          </w:p>
        </w:tc>
        <w:tc>
          <w:tcPr>
            <w:tcW w:w="53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napToGrid w:val="0"/>
              <w:spacing w:beforeAutospacing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5分</w:t>
            </w:r>
          </w:p>
        </w:tc>
      </w:tr>
    </w:tbl>
    <w:p>
      <w:pPr>
        <w:widowControl/>
        <w:jc w:val="center"/>
        <w:rPr>
          <w:rFonts w:ascii="方正仿宋_GBK" w:hAnsi="方正仿宋_GBK" w:cs="方正仿宋_GBK"/>
          <w:b/>
          <w:color w:val="000000"/>
          <w:sz w:val="24"/>
        </w:rPr>
      </w:pPr>
    </w:p>
    <w:p>
      <w:pPr>
        <w:pStyle w:val="3"/>
        <w:rPr>
          <w:sz w:val="28"/>
          <w:szCs w:val="36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-422910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LvQA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u9AC1QAAAAgBAAAPAAAAAAAAAAEAIAAAACIAAABkcnMvZG93bnJl&#10;di54bWxQSwECFAAUAAAACACHTuJA1fWDns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jJlMzVhN2Y1NGU4NjM1ODhlYmEwMTk0N2Q0ZjEifQ=="/>
  </w:docVars>
  <w:rsids>
    <w:rsidRoot w:val="48D0072C"/>
    <w:rsid w:val="48D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atLeast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2023-04-03T01:24:00Z</dcterms:created>
  <dc:creator>来自北欧的神秘力量</dc:creator>
  <cp:lastModifiedBy>来自北欧的神秘力量</cp:lastModifiedBy>
  <dcterms:modified xsi:type="dcterms:W3CDTF">2023-04-03T01:25:05Z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ADE36DFDAF7C41CD8A1687D753C7739B</vt:lpwstr>
  </property>
</Properties>
</file>