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bookmarkStart w:id="0" w:name="_Toc246930316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8"/>
          <w:szCs w:val="48"/>
          <w:lang w:val="en-US" w:eastAsia="zh-CN"/>
        </w:rPr>
        <w:t>铜仁职业技术大学四害防治项目</w:t>
      </w:r>
    </w:p>
    <w:p w14:paraId="6A5D282C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06E95BD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采</w:t>
      </w:r>
    </w:p>
    <w:p w14:paraId="607BAB80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C34545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购</w:t>
      </w:r>
    </w:p>
    <w:p w14:paraId="4E89E106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7AAA58D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方</w:t>
      </w:r>
    </w:p>
    <w:p w14:paraId="6ECD1CC0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10EB42E1">
      <w:pPr>
        <w:spacing w:line="760" w:lineRule="exact"/>
        <w:jc w:val="center"/>
        <w:rPr>
          <w:rFonts w:hint="eastAsia" w:ascii="仿宋" w:hAnsi="仿宋" w:eastAsia="仿宋" w:cs="仿宋"/>
          <w:bCs/>
          <w:sz w:val="56"/>
          <w:szCs w:val="56"/>
          <w:u w:val="single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案</w:t>
      </w:r>
    </w:p>
    <w:p w14:paraId="3CEA9D31">
      <w:pPr>
        <w:spacing w:line="560" w:lineRule="exact"/>
        <w:jc w:val="center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0292182D">
      <w:pPr>
        <w:spacing w:line="560" w:lineRule="exact"/>
        <w:jc w:val="both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74B25BF7"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  <w:shd w:val="clear" w:color="auto" w:fill="FFFFFF"/>
        </w:rPr>
      </w:pPr>
    </w:p>
    <w:p w14:paraId="30E0178D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招标人：铜仁职业技术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学</w:t>
      </w:r>
    </w:p>
    <w:p w14:paraId="35115263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</w:p>
    <w:p w14:paraId="3A5A3ADA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sectPr>
          <w:pgSz w:w="12240" w:h="15840"/>
          <w:pgMar w:top="2098" w:right="1474" w:bottom="1984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日  期：202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月</w:t>
      </w:r>
    </w:p>
    <w:p w14:paraId="1FADA0E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  <w:t>铜仁职业技术大学四害防治项目招标采购方案</w:t>
      </w:r>
    </w:p>
    <w:p w14:paraId="29B3B0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基本情况</w:t>
      </w:r>
    </w:p>
    <w:p w14:paraId="05D685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1.项目名称：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铜仁职业技术大学四害防治项目</w:t>
      </w:r>
    </w:p>
    <w:p w14:paraId="4C0780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2.服务地点：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</w:t>
      </w:r>
    </w:p>
    <w:p w14:paraId="10E151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3.项目概况：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根据相关会议安排，需对我校三个校区进行蛇、虫、鼠、蚁、蜈蚣、蟑螂等有害生物进行除害防治，有效保障我校师生卫生、生命等安全防护。</w:t>
      </w:r>
    </w:p>
    <w:p w14:paraId="1588FC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4.服务时间：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根据合同约定，本项目“一招三年，一年一签”。</w:t>
      </w:r>
    </w:p>
    <w:p w14:paraId="41B2D3D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采购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内容</w:t>
      </w:r>
    </w:p>
    <w:p w14:paraId="12F38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1.采购内容：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针对铜仁职业技术大学教育园区、高新校区、木秀坪校区进行有害生物分类，评估效果，监测密度，环境消杀，提高有害生物防制效果，做好公共环境的有害生物防制工作，制定公共环境有害生物防制工作技术方案。</w:t>
      </w:r>
    </w:p>
    <w:p w14:paraId="2145A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2.防治范围：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铜仁职业技术大学各校区的教学楼、体育场、宿舍、办公楼、图书馆、垃圾站等区域。</w:t>
      </w:r>
    </w:p>
    <w:p w14:paraId="1CD75B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三、投标人资格审查内容</w:t>
      </w:r>
    </w:p>
    <w:p w14:paraId="2E467A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1.基本资格要求：</w:t>
      </w:r>
    </w:p>
    <w:p w14:paraId="70D828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符合《政府采购法》第二十二条所规定的条件，根据以下信息进行评审：《供应商资格声明函》及其附件。</w:t>
      </w:r>
    </w:p>
    <w:p w14:paraId="373D62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（1）具有独立承担民事责任的能力：提供法人或其他组织的营业执照等证明文件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或自然人身份证明；法定代表人身份证或委托代理人持授权委托书及代理人身份证；</w:t>
      </w:r>
    </w:p>
    <w:p w14:paraId="603985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（2）具有良好的商业信誉和健全的财务会计制度：提供投标人2024年或2025年度经审计的财务报表，或提供开户银行出具的资信证明；</w:t>
      </w:r>
    </w:p>
    <w:p w14:paraId="080D33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（3）具有履行合同所必需的设备和专业技术能力：提供具有履行合同所必需的专业技术能力承诺函（格式自拟）；</w:t>
      </w:r>
    </w:p>
    <w:p w14:paraId="05977A6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（4）有依法缴纳税收和社会保障资金的良好记录：提供投标人2025年以来任意连续3个月依法缴纳税收和社会保障资金的有效证明材料；</w:t>
      </w:r>
    </w:p>
    <w:p w14:paraId="757EBC0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（5）参加政府采购活动近3年内在经营活动中没有重大违法记录的书面声明。</w:t>
      </w:r>
    </w:p>
    <w:p w14:paraId="00BE4E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（6）提供上一年度从事相关四害防治的工作证明（合同或协议）。</w:t>
      </w:r>
    </w:p>
    <w:p w14:paraId="46AAC08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7）供应商未被列入“信用中国”网站中记录“失信被执行人、重大税收违法案件当事人名单、政府采购严重违法失信行为记录名单”的记录名单；不处于中国政府采购网中“政府采购严重违法失信行为信息记录”的禁止参加政府采购活动期间。如在记录内应当拒绝其参与政府采购活动，如查询结果显示“没查到您要的信息”，视为没有上述不良信用记录。</w:t>
      </w:r>
    </w:p>
    <w:p w14:paraId="4113C2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查询截止时间：招标公告发布之日至开标时间期间；信用信息查询记录和证据留存方式：投标人提供查询记录截图（制作于标书内，两个网站均需要查询）。</w:t>
      </w:r>
    </w:p>
    <w:p w14:paraId="0452EF2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（8）本项目不接受联合体投标。</w:t>
      </w:r>
    </w:p>
    <w:p w14:paraId="0B66455F">
      <w:pPr>
        <w:pStyle w:val="5"/>
        <w:shd w:val="clear" w:color="auto" w:fill="FFFFFF"/>
        <w:spacing w:before="0" w:beforeAutospacing="0" w:after="0" w:afterAutospacing="0" w:line="4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2.特殊资格要求：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具备有害生物防制服务机构服务能力证书。</w:t>
      </w:r>
    </w:p>
    <w:p w14:paraId="358D158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、最高限价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及支付方式</w:t>
      </w:r>
    </w:p>
    <w:p w14:paraId="1C42D38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本项目最高投标限价为：21.9万元整（3年）。</w:t>
      </w:r>
    </w:p>
    <w:p w14:paraId="4380D0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支付方式：本项目一招三年，根据考核情况合同一年一续签，每季度考核1次，每4季度考核合格后按年度支付合同价款，具体在合同中详细约定。</w:t>
      </w:r>
    </w:p>
    <w:p w14:paraId="6246316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招标方式、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中标原则</w:t>
      </w:r>
    </w:p>
    <w:p w14:paraId="3EB86205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1.招标方式：</w:t>
      </w:r>
    </w:p>
    <w:p w14:paraId="43AA56F6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本项目采取竞争性谈判，标书报价为第一轮报价，现场报价为第二轮报价。在铜仁职业技术大学校园官网招标采购栏目公示，投标人现场报名，开标现场递交投标文件参与投标，有效投标须满足三家，不足三家作废标处理。</w:t>
      </w:r>
    </w:p>
    <w:p w14:paraId="2B949C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2.中标原则：</w:t>
      </w:r>
    </w:p>
    <w:p w14:paraId="2E068DBA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通过资格性及符合性审查且完全响应招标要求的投标人，第二轮有效报价最低者为中标单位。</w:t>
      </w:r>
    </w:p>
    <w:p w14:paraId="088D0E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3.标书制作：</w:t>
      </w:r>
    </w:p>
    <w:p w14:paraId="1EE8BE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纸质文件壹份，须使用A4纸打印，胶装、编制目录、页码。投标人应对投标文件进行密封，并标明项目名称、招标人名称、竞标人名称，注明“开标时间以前不得开封”等字样，加盖投标单位公章。投标文件按格式要求盖章、签字；投标文件须逐页加盖投标单位公章。</w:t>
      </w:r>
    </w:p>
    <w:p w14:paraId="21FC02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纸质投标文件线下递交时间及地点</w:t>
      </w:r>
    </w:p>
    <w:p w14:paraId="6262F69D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1.投标文件递交：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投标文件由投标人开标时带到开标现场，投标单位现场参与开标，超过开标时间未签到，视为主动放弃投标，投标无效。</w:t>
      </w:r>
    </w:p>
    <w:p w14:paraId="1D1793D0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2.开标时间：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2026年1月27日10:00</w:t>
      </w:r>
    </w:p>
    <w:p w14:paraId="3C1E5FB8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3.开标地点：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铜仁职业技术大学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继教楼一楼会议室</w:t>
      </w:r>
    </w:p>
    <w:p w14:paraId="0A299613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4.投标文件要求：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投标文件必须密封完整，未密封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的投标文件资料，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视为无效投标，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招标人不予受理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3678184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5.标书递交：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开标现场</w:t>
      </w:r>
    </w:p>
    <w:p w14:paraId="509F54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七、响应文件的组成及要求</w:t>
      </w:r>
    </w:p>
    <w:p w14:paraId="498F27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（一）响应文件的语言及验证内容</w:t>
      </w:r>
    </w:p>
    <w:p w14:paraId="341AE8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1.招标代理机构递交的响应文件应用中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文写成。招标代理机构所提交的身份证明应包含：</w:t>
      </w:r>
    </w:p>
    <w:p w14:paraId="6C68FEC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（1）营业执照复印件；</w:t>
      </w:r>
    </w:p>
    <w:p w14:paraId="331C008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企业法定代表人身份证明或授权代理授权委托书、法人身份证复印件、授权委托人身份证复印件。（以上资料复印件需加盖公司公章及法定代表人私章或签字），只有以上证件全部验证齐全的竞争人才能进入下一步程序。</w:t>
      </w:r>
    </w:p>
    <w:p w14:paraId="25BAF80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2.响应文件应至少包括：</w:t>
      </w:r>
    </w:p>
    <w:p w14:paraId="03CDC6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（1）法定代表人身份证明书原件（内含法定代表人身份证复印件）；</w:t>
      </w:r>
    </w:p>
    <w:p w14:paraId="7BB300C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（2）授权委托书原件（委托代理人参加，内含委托代理人身份证复印件）；</w:t>
      </w:r>
    </w:p>
    <w:p w14:paraId="16DE9D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（3）报价承诺书原件；</w:t>
      </w:r>
    </w:p>
    <w:p w14:paraId="1E8B69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（4）投标单位营业执照复印件（营业执照需加盖单位鲜章）；</w:t>
      </w:r>
    </w:p>
    <w:p w14:paraId="0DE25EC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（5）响应文件要求的其他资料；</w:t>
      </w:r>
    </w:p>
    <w:p w14:paraId="014871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提供材料必须真实，一经发现有弄虚作假行为将取消资格。</w:t>
      </w:r>
    </w:p>
    <w:p w14:paraId="4D88FD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（二）投标文件装订要求</w:t>
      </w:r>
    </w:p>
    <w:p w14:paraId="3A6D19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1.响应文件应逐页编码装订成册。</w:t>
      </w:r>
    </w:p>
    <w:p w14:paraId="5C39E8C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2.响应文件不得有松散页。</w:t>
      </w:r>
    </w:p>
    <w:p w14:paraId="3E366A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3.响应文件除签名外，全部用不褪色的墨水（粉）打印。</w:t>
      </w:r>
    </w:p>
    <w:p w14:paraId="6F4601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4.响应文件需密封并于有效期内提交。</w:t>
      </w:r>
    </w:p>
    <w:p w14:paraId="41581CE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（三）响应文件份数及密封要求</w:t>
      </w:r>
    </w:p>
    <w:p w14:paraId="3B15CF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1.响应文件一式贰份，正本壹份，副本壹份（在封面上应分别标明）；投标文件的正副本应用不褪色的墨水（墨粉）书写或打印、复印，并按比选要求签字或公章。</w:t>
      </w:r>
    </w:p>
    <w:p w14:paraId="04B830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2.响应文件的正副本一起密封包装，封套上应写明招标人名称，招标代理机构名称、地址、电话及联系人等并加盖招标代理机构公章。</w:t>
      </w:r>
    </w:p>
    <w:p w14:paraId="4198F6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八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其他</w:t>
      </w:r>
    </w:p>
    <w:p w14:paraId="581CA1B6">
      <w:pPr>
        <w:spacing w:line="560" w:lineRule="exact"/>
        <w:ind w:firstLine="562" w:firstLineChars="200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1.报名截止时间：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2026年1月26日下午16:30。</w:t>
      </w:r>
    </w:p>
    <w:p w14:paraId="60C161D9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2.报名地点：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铜仁职业技术大学行政楼后勤部副部长办公室，联系人：蔡老师（联系电话：18311804628）</w:t>
      </w:r>
    </w:p>
    <w:p w14:paraId="7396297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3.报名方式：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现场报名，报名时提交有效的工商营业执照（复印件加盖公章）、法定代表人身份证（复印件加盖公章）或提供委托代理人持授权委托书及代理人身份证（复印件加盖公章）。</w:t>
      </w:r>
    </w:p>
    <w:p w14:paraId="16A902FD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4.公示期：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2026年1月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日—2026年1月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日（日历天）。</w:t>
      </w:r>
    </w:p>
    <w:p w14:paraId="6629AF6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5.中标单位需承担本项目专家论证、评审等费用。</w:t>
      </w:r>
    </w:p>
    <w:p w14:paraId="14A73E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、招标人及联系方式</w:t>
      </w:r>
    </w:p>
    <w:p w14:paraId="003496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招 标 人：铜仁职业技术大学</w:t>
      </w:r>
    </w:p>
    <w:p w14:paraId="0D4CF4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地    址：贵州省铜仁市碧江区自由路2号</w:t>
      </w:r>
    </w:p>
    <w:p w14:paraId="23A525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 系 人：蔡老师</w:t>
      </w:r>
    </w:p>
    <w:p w14:paraId="2E94EE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联系电话：18311804628</w:t>
      </w:r>
    </w:p>
    <w:bookmarkEnd w:id="0"/>
    <w:p w14:paraId="3D34017F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56D01DB8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E16B3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br w:type="page"/>
      </w:r>
    </w:p>
    <w:p w14:paraId="399EE803">
      <w:pPr>
        <w:jc w:val="left"/>
        <w:rPr>
          <w:rFonts w:hint="eastAsia" w:ascii="宋体" w:hAnsi="宋体" w:eastAsia="宋体"/>
          <w:b/>
          <w:bCs/>
          <w:color w:val="000000"/>
          <w:sz w:val="24"/>
          <w:szCs w:val="15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15"/>
          <w:lang w:val="en-US" w:eastAsia="zh-CN"/>
        </w:rPr>
        <w:t>附 件：</w:t>
      </w:r>
    </w:p>
    <w:p w14:paraId="223ED303">
      <w:pPr>
        <w:jc w:val="center"/>
        <w:rPr>
          <w:rFonts w:hint="eastAsia" w:ascii="宋体" w:hAnsi="宋体" w:eastAsia="宋体"/>
          <w:color w:val="000000"/>
          <w:sz w:val="42"/>
          <w:lang w:eastAsia="zh-CN"/>
        </w:rPr>
      </w:pPr>
      <w:r>
        <w:rPr>
          <w:rFonts w:hint="eastAsia" w:ascii="宋体" w:hAnsi="宋体"/>
          <w:color w:val="000000"/>
          <w:sz w:val="40"/>
          <w:szCs w:val="21"/>
        </w:rPr>
        <w:t>铜仁</w:t>
      </w:r>
      <w:r>
        <w:rPr>
          <w:rFonts w:hint="eastAsia" w:ascii="宋体" w:hAnsi="宋体"/>
          <w:color w:val="000000"/>
          <w:sz w:val="40"/>
          <w:szCs w:val="21"/>
          <w:lang w:eastAsia="zh-CN"/>
        </w:rPr>
        <w:t>职业技术大学</w:t>
      </w:r>
      <w:r>
        <w:rPr>
          <w:rFonts w:hint="eastAsia" w:ascii="宋体" w:hAnsi="宋体"/>
          <w:color w:val="000000"/>
          <w:sz w:val="40"/>
          <w:szCs w:val="21"/>
        </w:rPr>
        <w:t>有害</w:t>
      </w:r>
      <w:r>
        <w:rPr>
          <w:rFonts w:hint="eastAsia" w:ascii="宋体" w:hAnsi="宋体"/>
          <w:color w:val="000000"/>
          <w:sz w:val="40"/>
          <w:szCs w:val="21"/>
          <w:lang w:eastAsia="zh-CN"/>
        </w:rPr>
        <w:t>生物防治</w:t>
      </w:r>
      <w:r>
        <w:rPr>
          <w:rFonts w:hint="eastAsia" w:ascii="宋体" w:hAnsi="宋体"/>
          <w:color w:val="000000"/>
          <w:sz w:val="40"/>
          <w:szCs w:val="21"/>
          <w:lang w:val="en-US" w:eastAsia="zh-CN"/>
        </w:rPr>
        <w:t>需求</w:t>
      </w:r>
    </w:p>
    <w:p w14:paraId="073E2AE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鼠患</w:t>
      </w:r>
    </w:p>
    <w:p w14:paraId="153F0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1.鼠情调查：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调查统计防治区域内的鼠类栖息、活动场所的数量，重点为各类堆积场所、垃圾污物堆积场所、破损下水道、明显的鼠洞等。</w:t>
      </w:r>
    </w:p>
    <w:p w14:paraId="09A945C4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2.灭鼠技术措施：</w:t>
      </w:r>
    </w:p>
    <w:p w14:paraId="65251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(1)环境防鼠</w:t>
      </w:r>
    </w:p>
    <w:p w14:paraId="66220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①做到防鼠与灭鼠并重，建立下水道进出口的防鼠设施，排水沟要完整无缺，管线孔要用水泥堵塞孔洞，对周围环境做到见洞就堵，以控制和减少鼠类栖息、活动。</w:t>
      </w:r>
    </w:p>
    <w:p w14:paraId="1F540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②开展室内外环境整治，消除老鼠孳生场所，断绝鼠粮。垃圾箱、垃圾房、泔水缸要加盖加封。</w:t>
      </w:r>
    </w:p>
    <w:p w14:paraId="773B5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③设立毒鼠屋。根据现有情况，完善施工区、办公区、学习和生活区外环境的毒鼠屋，毒鼠屋的设立要求牢固、隐蔽、实用、防雨、防潮、美观，定期更换鼠药，并保持安全有效。</w:t>
      </w:r>
    </w:p>
    <w:p w14:paraId="1A21A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(2)器械灭鼠</w:t>
      </w:r>
    </w:p>
    <w:p w14:paraId="3B3E5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外环境选用鼠夹、压板、弓形夹等多种灭鼠方法。</w:t>
      </w:r>
    </w:p>
    <w:p w14:paraId="0B540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(3)开展长期灭鼠</w:t>
      </w:r>
    </w:p>
    <w:p w14:paraId="2887D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不失时间地做好长期大面积灭鼠工作。</w:t>
      </w:r>
    </w:p>
    <w:p w14:paraId="782AC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①投药前，配合甲方开展广泛的宣传。</w:t>
      </w:r>
    </w:p>
    <w:p w14:paraId="6E476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②生活区灭鼠：在统一投药之前，必须用夹捕法进行灭鼠。</w:t>
      </w:r>
    </w:p>
    <w:p w14:paraId="05205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③通过现场筛选试验，选择灭效好、残留低的灭鼠药物为统一灭鼠药物。</w:t>
      </w:r>
    </w:p>
    <w:p w14:paraId="1E3CC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④统一投放灭鼠毒饵：事先准备好灭鼠宣传资料，发放灭鼠通知，做到区域内教职工、学生和其他职工人人皆知，重点位置标识警示提示牌，尤其是要防学生、教职工、小孩误拿误食。投放鼠药时注意“四统一”(统一用药、统一时间、统一方案、统一标准)，保证做到点多、面广、量足、到位。有可疑鼠洞、鼠道、鼠迹的环境要重点布放。</w:t>
      </w:r>
    </w:p>
    <w:p w14:paraId="42909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⑤使用慢性抗凝血剂灭鼠药时必须连投3—5天，每堆l0—l5克，外环境按5m×lOm间距投放一堆，投药后每天检查，消耗多少补多少，耗尽加倍。要将鼠药投放在毒鼠屋等有防雨、防潮的设施。</w:t>
      </w:r>
    </w:p>
    <w:p w14:paraId="479D9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⑥对办公区、学习区、生活区内能开启的窨缸、窨井和下水道入口，用大隆蜡块悬挂，在距水面约5公分处进行灭鼠。</w:t>
      </w:r>
    </w:p>
    <w:p w14:paraId="2FABF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⑦投放一周后及时清理鼠尸和残留鼠药。</w:t>
      </w:r>
    </w:p>
    <w:p w14:paraId="27868BC3">
      <w:pPr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(4)常年灭鼠</w:t>
      </w:r>
    </w:p>
    <w:p w14:paraId="24648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定期巡回检查全校（一校三区）环境，发现鼠洞、鼠迹或有可疑鼠活动的场所，要扩大投药或用其他物理方法灭鼠。</w:t>
      </w:r>
    </w:p>
    <w:p w14:paraId="282A6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各区域选择有可疑鼠活动以及学校与外接壤的边缘地段，选隐蔽、合适的场所设置毒鼠屋，防雨、防潮、美观，定期更换鼠药。</w:t>
      </w:r>
    </w:p>
    <w:p w14:paraId="7DB8377C">
      <w:pP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灭鼠评估鼠害调查及撰写鼠类侵害状况调查报告，调查数据结果分析，实施方案，现场调查，分析结果，确定综合防治方法并确定首选方法，制定防治步骤，针对性，可行性，灭鼠方法的选择，根据学校绿化面积、建筑物等情况，外围采用投放饵料法，在办公楼，教学楼、宿舍、、绿化带，进行饵料投放法，以慢性灭鼠剂毒饵为10—15g，每l5㎡投放饵料2堆，超过部分按比例增加。傍晚投放，翌晨检查，部分消耗者补充至原量，全部消耗者加倍投放，或增加投饵点，总的投放原则是尽可能投放到鼠类经常活动处，尤其是取食场所。</w:t>
      </w:r>
    </w:p>
    <w:p w14:paraId="355C28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二、蚊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虫</w:t>
      </w:r>
    </w:p>
    <w:p w14:paraId="2330BC4F">
      <w:pPr>
        <w:ind w:firstLine="562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1.设立蚊虫密度监测点，开展蚊虫密度监测：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开展蚊虫孳生地调查。全面清查灭蚊防制区域内各类积水，存水容器数量，水体类型及废品垃圾收集处等重点地段，搞好蚊虫孳生场所的本底。</w:t>
      </w:r>
    </w:p>
    <w:p w14:paraId="6167EAFC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2.综合防治措施：</w:t>
      </w:r>
    </w:p>
    <w:p w14:paraId="683DB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(1)环境防治</w:t>
      </w:r>
    </w:p>
    <w:p w14:paraId="0672E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环境防治是灭蚊虫工作中的治本措施，主要是做到彻底清除和严密控制蚊虫赖以孳生繁殖的各种水体环境，从而在源头上控制蚊虫孳生。</w:t>
      </w:r>
    </w:p>
    <w:p w14:paraId="6D25A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(2)生物防治</w:t>
      </w:r>
    </w:p>
    <w:p w14:paraId="5C3F2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使用生物杀虫剂杀灭蚊虫幼虫，对不能排除的各类水体选用保世洁生物制剂，每月投放一次。</w:t>
      </w:r>
    </w:p>
    <w:p w14:paraId="4BF6E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(3)化学防治</w:t>
      </w:r>
    </w:p>
    <w:p w14:paraId="032E3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①使用化学杀虫剂杀灭蚊虫幼虫，对一些受污型的水体，如窨井(缸)、污水沟、清水粪缸等使用灭蚊幼缓释块，每平方米水面1块，窨井(缸)每口悬挂l块杀灭蚊幼，每半月投放一次。</w:t>
      </w:r>
    </w:p>
    <w:p w14:paraId="76F64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②合理使用化学杀虫剂杀灭成年蚊虫。选用高效、低毒、致死性强的有机磷类杀虫剂，在早晚蚊虫群舞期间进行超低容量空间喷雾杀灭成蚊。</w:t>
      </w:r>
    </w:p>
    <w:p w14:paraId="55289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Times New Roman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③对生活、办公区域内及周围的河道、水沟以及工地等蚊子孳生繁殖的重点区域投放缓释块。</w:t>
      </w:r>
    </w:p>
    <w:p w14:paraId="79E496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三、灭蝇</w:t>
      </w:r>
    </w:p>
    <w:p w14:paraId="53897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1.查找蝇类孳生场所：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查清防治区域内的各类孳生场所的种类及数量。如垃圾箱、果壳箱、厕所、化粪池、绿化带、垃圾堆放点等蝇类孳生场所。</w:t>
      </w:r>
    </w:p>
    <w:p w14:paraId="23C255AC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2.综合防治：</w:t>
      </w:r>
    </w:p>
    <w:p w14:paraId="475C1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(1)环境治理</w:t>
      </w:r>
    </w:p>
    <w:p w14:paraId="6779D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①搞好以环境治理为主的综合防制，加强垃圾管理，生活垃圾与建筑垃圾分开存放，堆放点硬地化，生活垃圾袋装化，做到及时收集，外运和无害化处理。清除外环境中露天粪缸、粪池、污物桶，防止蝇幼孳生。</w:t>
      </w:r>
    </w:p>
    <w:p w14:paraId="1886C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②完善环境卫生设施。果壳箱、垃圾箱、桶、房加盖密封、日产日清并定期清洗箱、桶、房，清除蝇幼孳生物质。公共厕所粪水漕有自动流水冲洗设施，并做好日常保洁、定期消杀。</w:t>
      </w:r>
    </w:p>
    <w:p w14:paraId="28A65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③开展环境综合整治，大搞室内外环境卫生，清除污物、杂物，消除蝇类栖息场所。绿化带要加强管理和整治，不用未经处理的人粪、有机物施肥。</w:t>
      </w:r>
    </w:p>
    <w:p w14:paraId="3B98B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(2)物理防治</w:t>
      </w:r>
    </w:p>
    <w:p w14:paraId="2B524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在成蝇密度较高的场所如垃圾箱等使用捕蝇笼，部分绿化带、草坪、果壳箱旁也设置诱蝇笼，根据具体情况蝇笼可增、减，并加强对蝇笼的管理，早放晚收，并及时清除捕获的成蝇。针对季节、蝇种变化及时调整诱饵。</w:t>
      </w:r>
    </w:p>
    <w:p w14:paraId="2E81E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(3)化学防治</w:t>
      </w:r>
    </w:p>
    <w:p w14:paraId="33144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使用较易降解对人畜安全，“三证”齐全的高效低毒有机磷杀虫剂，拟除虫菊酯类杀虫剂及其复配液。用0.03%高效氯氰菊酯和增效剂复配成喷洒剂，每平方米喷洒50-60ml，喷洒时间为晴好天气上午8时前，下午5时后，杀灭成蝇及蝇蛆。</w:t>
      </w:r>
    </w:p>
    <w:p w14:paraId="7905F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②在垃圾箱和绿化带使用0.2-0.3％敌百虫或0．2％敌敌畏与饭粒、鱼腥配制的毒饵进行投放杀灭成蝇，每周更换一次，确保药效。</w:t>
      </w:r>
    </w:p>
    <w:p w14:paraId="2EB104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四、蟑螂</w:t>
      </w:r>
    </w:p>
    <w:p w14:paraId="209C3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1.综合防治：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重点做好宿舍、办公室、教室、图书馆等的蟑螂杀灭和控制工作。</w:t>
      </w:r>
    </w:p>
    <w:p w14:paraId="3FFC0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(1)环境治理</w:t>
      </w:r>
    </w:p>
    <w:p w14:paraId="6A563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搞好以环境治理为主的综合防制，创造不利于蟑螂侵入和生活的环境，以阻止其进入或不能在此生存。如堵洞抹缝、做好清洁、管好食物及水源等；</w:t>
      </w:r>
    </w:p>
    <w:p w14:paraId="177DC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(2)物理、化学防治</w:t>
      </w:r>
    </w:p>
    <w:p w14:paraId="37435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①采用药物产品如拜虫杀、拜力坦等，以及溴氰菊酯、氯菊酯、胺菊酯等拟除虫菊酯类药复配后化学喷洒。</w:t>
      </w:r>
    </w:p>
    <w:p w14:paraId="5AB28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②对于部分存在蟑螂活动频繁的室内密闭场所可使用烟雾机烟熏灭蟑。</w:t>
      </w:r>
    </w:p>
    <w:p w14:paraId="140C7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③采用粘蟑纸、粘蟑屋或开水烫等。</w:t>
      </w:r>
    </w:p>
    <w:p w14:paraId="56310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④环境整治堵洞、抹缝等。</w:t>
      </w:r>
    </w:p>
    <w:p w14:paraId="39452B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五.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蜈蚣、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蛇等其他有害生物</w:t>
      </w:r>
    </w:p>
    <w:p w14:paraId="4E5CF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1.综合防治：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重点做好教职员工和学生宿舍、办公室、教室等的蜈蚣、蛇杀灭和控制工作。</w:t>
      </w:r>
    </w:p>
    <w:p w14:paraId="504C9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(1)环境治理</w:t>
      </w:r>
    </w:p>
    <w:p w14:paraId="0C023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以环境治理为主的综合防制，创造不利于蜈蚣、蛇等侵入和生活的环境，以阻止其进入或不能在此生存。如设置防蛇网、投放驱蛇药、设置捕蛇夹等；</w:t>
      </w:r>
    </w:p>
    <w:p w14:paraId="48CE7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(2)物理、化学防治</w:t>
      </w:r>
    </w:p>
    <w:p w14:paraId="43848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①采用药物产品如驱蛇颗粒、呋虫胺等除虫菊酯类药复配后化学喷洒。</w:t>
      </w:r>
    </w:p>
    <w:p w14:paraId="43379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②对于部分存在蜈蚣活动频繁的室内密闭场所可使用烟雾机烟熏灭蟑。</w:t>
      </w:r>
    </w:p>
    <w:p w14:paraId="0B6AA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③采用粘鼠纸控制蜈蚣或蛇</w:t>
      </w:r>
    </w:p>
    <w:p w14:paraId="562969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六、铜仁职业技术大学一校三区四害控制药物清单</w:t>
      </w:r>
    </w:p>
    <w:tbl>
      <w:tblPr>
        <w:tblStyle w:val="7"/>
        <w:tblpPr w:leftFromText="180" w:rightFromText="180" w:vertAnchor="text" w:horzAnchor="page" w:tblpX="1489" w:tblpY="2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955"/>
        <w:gridCol w:w="3678"/>
        <w:gridCol w:w="1334"/>
        <w:gridCol w:w="1193"/>
      </w:tblGrid>
      <w:tr w14:paraId="580D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45" w:type="dxa"/>
            <w:noWrap w:val="0"/>
            <w:vAlign w:val="top"/>
          </w:tcPr>
          <w:p w14:paraId="70E92401">
            <w:r>
              <w:rPr>
                <w:rFonts w:hint="eastAsia"/>
              </w:rPr>
              <w:t>月份</w:t>
            </w:r>
          </w:p>
        </w:tc>
        <w:tc>
          <w:tcPr>
            <w:tcW w:w="1955" w:type="dxa"/>
            <w:noWrap w:val="0"/>
            <w:vAlign w:val="top"/>
          </w:tcPr>
          <w:p w14:paraId="0A4508DE">
            <w:r>
              <w:rPr>
                <w:rFonts w:hint="eastAsia"/>
              </w:rPr>
              <w:t>药物名称</w:t>
            </w:r>
          </w:p>
        </w:tc>
        <w:tc>
          <w:tcPr>
            <w:tcW w:w="3678" w:type="dxa"/>
            <w:noWrap w:val="0"/>
            <w:vAlign w:val="top"/>
          </w:tcPr>
          <w:p w14:paraId="619F38D5">
            <w:r>
              <w:rPr>
                <w:rFonts w:hint="eastAsia"/>
              </w:rPr>
              <w:t>数量</w:t>
            </w:r>
          </w:p>
        </w:tc>
        <w:tc>
          <w:tcPr>
            <w:tcW w:w="1334" w:type="dxa"/>
            <w:noWrap w:val="0"/>
            <w:vAlign w:val="top"/>
          </w:tcPr>
          <w:p w14:paraId="5E174DC5">
            <w:r>
              <w:rPr>
                <w:rFonts w:hint="eastAsia"/>
              </w:rPr>
              <w:t>单价（元）</w:t>
            </w:r>
          </w:p>
        </w:tc>
        <w:tc>
          <w:tcPr>
            <w:tcW w:w="1193" w:type="dxa"/>
            <w:noWrap w:val="0"/>
            <w:vAlign w:val="top"/>
          </w:tcPr>
          <w:p w14:paraId="76A68953">
            <w:r>
              <w:rPr>
                <w:rFonts w:hint="eastAsia"/>
              </w:rPr>
              <w:t>合计</w:t>
            </w:r>
          </w:p>
        </w:tc>
      </w:tr>
      <w:tr w14:paraId="5F07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5" w:type="dxa"/>
            <w:noWrap w:val="0"/>
            <w:vAlign w:val="top"/>
          </w:tcPr>
          <w:p w14:paraId="5429386B">
            <w:r>
              <w:rPr>
                <w:rFonts w:hint="eastAsia"/>
              </w:rPr>
              <w:t>1</w:t>
            </w:r>
          </w:p>
        </w:tc>
        <w:tc>
          <w:tcPr>
            <w:tcW w:w="1955" w:type="dxa"/>
            <w:noWrap w:val="0"/>
            <w:vAlign w:val="top"/>
          </w:tcPr>
          <w:p w14:paraId="0B237BF8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1CB8DB8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6BECBF94"/>
        </w:tc>
        <w:tc>
          <w:tcPr>
            <w:tcW w:w="1193" w:type="dxa"/>
            <w:noWrap w:val="0"/>
            <w:vAlign w:val="top"/>
          </w:tcPr>
          <w:p w14:paraId="61F5435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4F0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5" w:type="dxa"/>
            <w:noWrap w:val="0"/>
            <w:vAlign w:val="top"/>
          </w:tcPr>
          <w:p w14:paraId="7CCC7F1B"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noWrap w:val="0"/>
            <w:vAlign w:val="top"/>
          </w:tcPr>
          <w:p w14:paraId="7EA68EAA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34308DAA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15528AE3"/>
        </w:tc>
        <w:tc>
          <w:tcPr>
            <w:tcW w:w="1193" w:type="dxa"/>
            <w:noWrap w:val="0"/>
            <w:vAlign w:val="top"/>
          </w:tcPr>
          <w:p w14:paraId="5F25571A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1C65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noWrap w:val="0"/>
            <w:vAlign w:val="top"/>
          </w:tcPr>
          <w:p w14:paraId="254FDE0E">
            <w:r>
              <w:rPr>
                <w:rFonts w:hint="eastAsia"/>
              </w:rPr>
              <w:t>3</w:t>
            </w:r>
          </w:p>
        </w:tc>
        <w:tc>
          <w:tcPr>
            <w:tcW w:w="1955" w:type="dxa"/>
            <w:noWrap w:val="0"/>
            <w:vAlign w:val="top"/>
          </w:tcPr>
          <w:p w14:paraId="65020D03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05F12BD4">
            <w:r>
              <w:rPr>
                <w:rFonts w:hint="eastAsia"/>
                <w:lang w:val="en-US" w:eastAsia="zh-CN"/>
              </w:rPr>
              <w:t>40（斤）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01FE43E0"/>
        </w:tc>
        <w:tc>
          <w:tcPr>
            <w:tcW w:w="1193" w:type="dxa"/>
            <w:noWrap w:val="0"/>
            <w:vAlign w:val="top"/>
          </w:tcPr>
          <w:p w14:paraId="299B590F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075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45" w:type="dxa"/>
            <w:vMerge w:val="restart"/>
            <w:noWrap w:val="0"/>
            <w:vAlign w:val="top"/>
          </w:tcPr>
          <w:p w14:paraId="4C77AE90">
            <w:r>
              <w:rPr>
                <w:rFonts w:hint="eastAsia"/>
              </w:rPr>
              <w:t>4</w:t>
            </w:r>
          </w:p>
        </w:tc>
        <w:tc>
          <w:tcPr>
            <w:tcW w:w="1955" w:type="dxa"/>
            <w:noWrap w:val="0"/>
            <w:vAlign w:val="top"/>
          </w:tcPr>
          <w:p w14:paraId="7A039494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6946547A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33ED3B56"/>
        </w:tc>
        <w:tc>
          <w:tcPr>
            <w:tcW w:w="1193" w:type="dxa"/>
            <w:noWrap w:val="0"/>
            <w:vAlign w:val="top"/>
          </w:tcPr>
          <w:p w14:paraId="473E1922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4EC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5" w:type="dxa"/>
            <w:vMerge w:val="continue"/>
            <w:noWrap w:val="0"/>
            <w:vAlign w:val="top"/>
          </w:tcPr>
          <w:p w14:paraId="2B102233"/>
        </w:tc>
        <w:tc>
          <w:tcPr>
            <w:tcW w:w="1955" w:type="dxa"/>
            <w:noWrap w:val="0"/>
            <w:vAlign w:val="top"/>
          </w:tcPr>
          <w:p w14:paraId="77AC94E5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4772E1B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02EB85C1"/>
        </w:tc>
        <w:tc>
          <w:tcPr>
            <w:tcW w:w="1193" w:type="dxa"/>
            <w:noWrap w:val="0"/>
            <w:vAlign w:val="top"/>
          </w:tcPr>
          <w:p w14:paraId="1F0CE01A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D46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45" w:type="dxa"/>
            <w:vMerge w:val="continue"/>
            <w:noWrap w:val="0"/>
            <w:vAlign w:val="top"/>
          </w:tcPr>
          <w:p w14:paraId="1156C39E"/>
        </w:tc>
        <w:tc>
          <w:tcPr>
            <w:tcW w:w="1955" w:type="dxa"/>
            <w:noWrap w:val="0"/>
            <w:vAlign w:val="top"/>
          </w:tcPr>
          <w:p w14:paraId="7A7A6BD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3B41AC1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43BD2BF1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37859D4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3743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5" w:type="dxa"/>
            <w:vMerge w:val="continue"/>
            <w:noWrap w:val="0"/>
            <w:vAlign w:val="top"/>
          </w:tcPr>
          <w:p w14:paraId="0150B94C"/>
        </w:tc>
        <w:tc>
          <w:tcPr>
            <w:tcW w:w="1955" w:type="dxa"/>
            <w:noWrap w:val="0"/>
            <w:vAlign w:val="top"/>
          </w:tcPr>
          <w:p w14:paraId="76C1FF9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62EB588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10(盒)/62g</w:t>
            </w:r>
          </w:p>
        </w:tc>
        <w:tc>
          <w:tcPr>
            <w:tcW w:w="1334" w:type="dxa"/>
            <w:noWrap w:val="0"/>
            <w:vAlign w:val="top"/>
          </w:tcPr>
          <w:p w14:paraId="0D3FEA6C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65EFE22A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9A9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5" w:type="dxa"/>
            <w:vMerge w:val="restart"/>
            <w:noWrap w:val="0"/>
            <w:vAlign w:val="top"/>
          </w:tcPr>
          <w:p w14:paraId="3749A0E5">
            <w:r>
              <w:rPr>
                <w:rFonts w:hint="eastAsia"/>
              </w:rPr>
              <w:t>5</w:t>
            </w:r>
          </w:p>
        </w:tc>
        <w:tc>
          <w:tcPr>
            <w:tcW w:w="1955" w:type="dxa"/>
            <w:noWrap w:val="0"/>
            <w:vAlign w:val="top"/>
          </w:tcPr>
          <w:p w14:paraId="735D70BD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39F74D54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54FAAA0B"/>
        </w:tc>
        <w:tc>
          <w:tcPr>
            <w:tcW w:w="1193" w:type="dxa"/>
            <w:noWrap w:val="0"/>
            <w:vAlign w:val="top"/>
          </w:tcPr>
          <w:p w14:paraId="0D43FF98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52C4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continue"/>
            <w:noWrap w:val="0"/>
            <w:vAlign w:val="top"/>
          </w:tcPr>
          <w:p w14:paraId="5D6CC46E"/>
        </w:tc>
        <w:tc>
          <w:tcPr>
            <w:tcW w:w="1955" w:type="dxa"/>
            <w:noWrap w:val="0"/>
            <w:vAlign w:val="top"/>
          </w:tcPr>
          <w:p w14:paraId="5DEA89E8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77FF0831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210B7623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38783A1F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2C7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vMerge w:val="continue"/>
            <w:noWrap w:val="0"/>
            <w:vAlign w:val="top"/>
          </w:tcPr>
          <w:p w14:paraId="4DF2AA44"/>
        </w:tc>
        <w:tc>
          <w:tcPr>
            <w:tcW w:w="1955" w:type="dxa"/>
            <w:noWrap w:val="0"/>
            <w:vAlign w:val="top"/>
          </w:tcPr>
          <w:p w14:paraId="66D415E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呋虫胺</w:t>
            </w:r>
            <w:r>
              <w:rPr>
                <w:rFonts w:hint="eastAsia"/>
                <w:lang w:eastAsia="zh-CN"/>
              </w:rPr>
              <w:t>（蜈蚣防治）</w:t>
            </w:r>
          </w:p>
        </w:tc>
        <w:tc>
          <w:tcPr>
            <w:tcW w:w="3678" w:type="dxa"/>
            <w:noWrap w:val="0"/>
            <w:vAlign w:val="top"/>
          </w:tcPr>
          <w:p w14:paraId="202F6A1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42AE60AE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4C0FF5E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102D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5" w:type="dxa"/>
            <w:vMerge w:val="continue"/>
            <w:noWrap w:val="0"/>
            <w:vAlign w:val="top"/>
          </w:tcPr>
          <w:p w14:paraId="03E9839D"/>
        </w:tc>
        <w:tc>
          <w:tcPr>
            <w:tcW w:w="1955" w:type="dxa"/>
            <w:noWrap w:val="0"/>
            <w:vAlign w:val="top"/>
          </w:tcPr>
          <w:p w14:paraId="148F6AA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2F3AE66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5682420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498ED7ED">
            <w:pPr>
              <w:rPr>
                <w:rFonts w:hint="default"/>
                <w:lang w:val="en-US" w:eastAsia="zh-CN"/>
              </w:rPr>
            </w:pPr>
          </w:p>
        </w:tc>
      </w:tr>
      <w:tr w14:paraId="2C2C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45" w:type="dxa"/>
            <w:vMerge w:val="restart"/>
            <w:noWrap w:val="0"/>
            <w:vAlign w:val="top"/>
          </w:tcPr>
          <w:p w14:paraId="214168AD">
            <w:r>
              <w:rPr>
                <w:rFonts w:hint="eastAsia"/>
              </w:rPr>
              <w:t>6</w:t>
            </w:r>
          </w:p>
        </w:tc>
        <w:tc>
          <w:tcPr>
            <w:tcW w:w="1955" w:type="dxa"/>
            <w:noWrap w:val="0"/>
            <w:vAlign w:val="top"/>
          </w:tcPr>
          <w:p w14:paraId="1206C435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1667F8A8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6D85B513"/>
        </w:tc>
        <w:tc>
          <w:tcPr>
            <w:tcW w:w="1193" w:type="dxa"/>
            <w:noWrap w:val="0"/>
            <w:vAlign w:val="top"/>
          </w:tcPr>
          <w:p w14:paraId="6D732BB1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41C9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5" w:type="dxa"/>
            <w:vMerge w:val="continue"/>
            <w:noWrap w:val="0"/>
            <w:vAlign w:val="top"/>
          </w:tcPr>
          <w:p w14:paraId="5214D061"/>
        </w:tc>
        <w:tc>
          <w:tcPr>
            <w:tcW w:w="1955" w:type="dxa"/>
            <w:noWrap w:val="0"/>
            <w:vAlign w:val="top"/>
          </w:tcPr>
          <w:p w14:paraId="6364B93B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00B8AA89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574AC1ED"/>
        </w:tc>
        <w:tc>
          <w:tcPr>
            <w:tcW w:w="1193" w:type="dxa"/>
            <w:noWrap w:val="0"/>
            <w:vAlign w:val="top"/>
          </w:tcPr>
          <w:p w14:paraId="346A72E3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73B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45" w:type="dxa"/>
            <w:vMerge w:val="continue"/>
            <w:noWrap w:val="0"/>
            <w:vAlign w:val="top"/>
          </w:tcPr>
          <w:p w14:paraId="5DB74B5F"/>
        </w:tc>
        <w:tc>
          <w:tcPr>
            <w:tcW w:w="1955" w:type="dxa"/>
            <w:noWrap w:val="0"/>
            <w:vAlign w:val="top"/>
          </w:tcPr>
          <w:p w14:paraId="26E571A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2A6FC737"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605A9B43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00E11C36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C9E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45" w:type="dxa"/>
            <w:vMerge w:val="continue"/>
            <w:noWrap w:val="0"/>
            <w:vAlign w:val="top"/>
          </w:tcPr>
          <w:p w14:paraId="5AE5B77D"/>
        </w:tc>
        <w:tc>
          <w:tcPr>
            <w:tcW w:w="1955" w:type="dxa"/>
            <w:noWrap w:val="0"/>
            <w:vAlign w:val="top"/>
          </w:tcPr>
          <w:p w14:paraId="67DCE649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10472219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769331B0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top"/>
          </w:tcPr>
          <w:p w14:paraId="7411CCF8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51B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vMerge w:val="restart"/>
            <w:noWrap w:val="0"/>
            <w:vAlign w:val="top"/>
          </w:tcPr>
          <w:p w14:paraId="0EAFFB4C">
            <w:r>
              <w:rPr>
                <w:rFonts w:hint="eastAsia"/>
              </w:rPr>
              <w:t>7</w:t>
            </w:r>
          </w:p>
        </w:tc>
        <w:tc>
          <w:tcPr>
            <w:tcW w:w="1955" w:type="dxa"/>
            <w:noWrap w:val="0"/>
            <w:vAlign w:val="top"/>
          </w:tcPr>
          <w:p w14:paraId="706AB87D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6508BD81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1D7009F0"/>
        </w:tc>
        <w:tc>
          <w:tcPr>
            <w:tcW w:w="1193" w:type="dxa"/>
            <w:noWrap w:val="0"/>
            <w:vAlign w:val="top"/>
          </w:tcPr>
          <w:p w14:paraId="54626F3E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30AC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dxa"/>
            <w:vMerge w:val="continue"/>
            <w:noWrap w:val="0"/>
            <w:vAlign w:val="top"/>
          </w:tcPr>
          <w:p w14:paraId="7D2B2198"/>
        </w:tc>
        <w:tc>
          <w:tcPr>
            <w:tcW w:w="1955" w:type="dxa"/>
            <w:noWrap w:val="0"/>
            <w:vAlign w:val="top"/>
          </w:tcPr>
          <w:p w14:paraId="5BEDA508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456CCF00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17AEFD38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10922BCD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59A2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5" w:type="dxa"/>
            <w:vMerge w:val="continue"/>
            <w:noWrap w:val="0"/>
            <w:vAlign w:val="top"/>
          </w:tcPr>
          <w:p w14:paraId="7B4BD913"/>
        </w:tc>
        <w:tc>
          <w:tcPr>
            <w:tcW w:w="1955" w:type="dxa"/>
            <w:noWrap w:val="0"/>
            <w:vAlign w:val="top"/>
          </w:tcPr>
          <w:p w14:paraId="0AC188D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43239B36"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28BAB76C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4189EE01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85A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5" w:type="dxa"/>
            <w:vMerge w:val="continue"/>
            <w:noWrap w:val="0"/>
            <w:vAlign w:val="top"/>
          </w:tcPr>
          <w:p w14:paraId="7059CC44"/>
        </w:tc>
        <w:tc>
          <w:tcPr>
            <w:tcW w:w="1955" w:type="dxa"/>
            <w:noWrap w:val="0"/>
            <w:vAlign w:val="top"/>
          </w:tcPr>
          <w:p w14:paraId="6AED7BA3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03453053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7D7649C6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top"/>
          </w:tcPr>
          <w:p w14:paraId="4E153D1F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26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5" w:type="dxa"/>
            <w:vMerge w:val="restart"/>
            <w:noWrap w:val="0"/>
            <w:vAlign w:val="top"/>
          </w:tcPr>
          <w:p w14:paraId="0E0A77E8">
            <w:r>
              <w:rPr>
                <w:rFonts w:hint="eastAsia"/>
              </w:rPr>
              <w:t>8</w:t>
            </w:r>
          </w:p>
        </w:tc>
        <w:tc>
          <w:tcPr>
            <w:tcW w:w="1955" w:type="dxa"/>
            <w:noWrap w:val="0"/>
            <w:vAlign w:val="top"/>
          </w:tcPr>
          <w:p w14:paraId="2422EAAA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26ADE81A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6406DEC4"/>
        </w:tc>
        <w:tc>
          <w:tcPr>
            <w:tcW w:w="1193" w:type="dxa"/>
            <w:noWrap w:val="0"/>
            <w:vAlign w:val="top"/>
          </w:tcPr>
          <w:p w14:paraId="71CBF399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4ECC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5" w:type="dxa"/>
            <w:vMerge w:val="continue"/>
            <w:noWrap w:val="0"/>
            <w:vAlign w:val="top"/>
          </w:tcPr>
          <w:p w14:paraId="561C7399"/>
        </w:tc>
        <w:tc>
          <w:tcPr>
            <w:tcW w:w="1955" w:type="dxa"/>
            <w:noWrap w:val="0"/>
            <w:vAlign w:val="top"/>
          </w:tcPr>
          <w:p w14:paraId="1A198870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3435729F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598E885F"/>
        </w:tc>
        <w:tc>
          <w:tcPr>
            <w:tcW w:w="1193" w:type="dxa"/>
            <w:noWrap w:val="0"/>
            <w:vAlign w:val="top"/>
          </w:tcPr>
          <w:p w14:paraId="3642B0C3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5129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45" w:type="dxa"/>
            <w:vMerge w:val="continue"/>
            <w:noWrap w:val="0"/>
            <w:vAlign w:val="top"/>
          </w:tcPr>
          <w:p w14:paraId="077502E5"/>
        </w:tc>
        <w:tc>
          <w:tcPr>
            <w:tcW w:w="1955" w:type="dxa"/>
            <w:noWrap w:val="0"/>
            <w:vAlign w:val="top"/>
          </w:tcPr>
          <w:p w14:paraId="09206F4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09331B4E"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6DF34703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33585801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4CD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5" w:type="dxa"/>
            <w:vMerge w:val="continue"/>
            <w:noWrap w:val="0"/>
            <w:vAlign w:val="top"/>
          </w:tcPr>
          <w:p w14:paraId="33067A4D"/>
        </w:tc>
        <w:tc>
          <w:tcPr>
            <w:tcW w:w="1955" w:type="dxa"/>
            <w:noWrap w:val="0"/>
            <w:vAlign w:val="top"/>
          </w:tcPr>
          <w:p w14:paraId="491F970C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767D8E36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297F1B0A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top"/>
          </w:tcPr>
          <w:p w14:paraId="4F77DC47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F7D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5" w:type="dxa"/>
            <w:vMerge w:val="restart"/>
            <w:noWrap w:val="0"/>
            <w:vAlign w:val="top"/>
          </w:tcPr>
          <w:p w14:paraId="05A68C6C">
            <w:r>
              <w:rPr>
                <w:rFonts w:hint="eastAsia"/>
              </w:rPr>
              <w:t>9</w:t>
            </w:r>
          </w:p>
        </w:tc>
        <w:tc>
          <w:tcPr>
            <w:tcW w:w="1955" w:type="dxa"/>
            <w:noWrap w:val="0"/>
            <w:vAlign w:val="top"/>
          </w:tcPr>
          <w:p w14:paraId="38A324BC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5A5B453E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4EF94E74"/>
        </w:tc>
        <w:tc>
          <w:tcPr>
            <w:tcW w:w="1193" w:type="dxa"/>
            <w:noWrap w:val="0"/>
            <w:vAlign w:val="top"/>
          </w:tcPr>
          <w:p w14:paraId="14F5B3BE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390B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5" w:type="dxa"/>
            <w:vMerge w:val="continue"/>
            <w:noWrap w:val="0"/>
            <w:vAlign w:val="top"/>
          </w:tcPr>
          <w:p w14:paraId="5D1FA173"/>
        </w:tc>
        <w:tc>
          <w:tcPr>
            <w:tcW w:w="1955" w:type="dxa"/>
            <w:noWrap w:val="0"/>
            <w:vAlign w:val="top"/>
          </w:tcPr>
          <w:p w14:paraId="6AF995E0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4B1C7FE0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5FD6BB5A"/>
        </w:tc>
        <w:tc>
          <w:tcPr>
            <w:tcW w:w="1193" w:type="dxa"/>
            <w:noWrap w:val="0"/>
            <w:vAlign w:val="top"/>
          </w:tcPr>
          <w:p w14:paraId="699A939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27E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vMerge w:val="continue"/>
            <w:noWrap w:val="0"/>
            <w:vAlign w:val="top"/>
          </w:tcPr>
          <w:p w14:paraId="56D31A51"/>
        </w:tc>
        <w:tc>
          <w:tcPr>
            <w:tcW w:w="1955" w:type="dxa"/>
            <w:noWrap w:val="0"/>
            <w:vAlign w:val="top"/>
          </w:tcPr>
          <w:p w14:paraId="42CA81D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01C99BA5"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6F1AFDC2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33C663FE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AED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45" w:type="dxa"/>
            <w:vMerge w:val="continue"/>
            <w:noWrap w:val="0"/>
            <w:vAlign w:val="top"/>
          </w:tcPr>
          <w:p w14:paraId="7A73AB46"/>
        </w:tc>
        <w:tc>
          <w:tcPr>
            <w:tcW w:w="1955" w:type="dxa"/>
            <w:noWrap w:val="0"/>
            <w:vAlign w:val="top"/>
          </w:tcPr>
          <w:p w14:paraId="0115BCDD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762ABA89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152B9709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top"/>
          </w:tcPr>
          <w:p w14:paraId="40B40C9A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5DE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5" w:type="dxa"/>
            <w:vMerge w:val="restart"/>
            <w:noWrap w:val="0"/>
            <w:vAlign w:val="top"/>
          </w:tcPr>
          <w:p w14:paraId="3F72E75A">
            <w:r>
              <w:rPr>
                <w:rFonts w:hint="eastAsia"/>
              </w:rPr>
              <w:t>10</w:t>
            </w:r>
          </w:p>
        </w:tc>
        <w:tc>
          <w:tcPr>
            <w:tcW w:w="1955" w:type="dxa"/>
            <w:noWrap w:val="0"/>
            <w:vAlign w:val="top"/>
          </w:tcPr>
          <w:p w14:paraId="653A2599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0ED220AC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0580B406"/>
        </w:tc>
        <w:tc>
          <w:tcPr>
            <w:tcW w:w="1193" w:type="dxa"/>
            <w:noWrap w:val="0"/>
            <w:vAlign w:val="top"/>
          </w:tcPr>
          <w:p w14:paraId="28557F74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201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5" w:type="dxa"/>
            <w:vMerge w:val="continue"/>
            <w:noWrap w:val="0"/>
            <w:vAlign w:val="top"/>
          </w:tcPr>
          <w:p w14:paraId="76CCEFAE"/>
        </w:tc>
        <w:tc>
          <w:tcPr>
            <w:tcW w:w="1955" w:type="dxa"/>
            <w:noWrap w:val="0"/>
            <w:vAlign w:val="top"/>
          </w:tcPr>
          <w:p w14:paraId="5C40D23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灭蟑饵剂</w:t>
            </w:r>
          </w:p>
        </w:tc>
        <w:tc>
          <w:tcPr>
            <w:tcW w:w="3678" w:type="dxa"/>
            <w:noWrap w:val="0"/>
            <w:vAlign w:val="top"/>
          </w:tcPr>
          <w:p w14:paraId="25BB613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5(箱)/12(盒)/50(袋)/10g</w:t>
            </w:r>
          </w:p>
        </w:tc>
        <w:tc>
          <w:tcPr>
            <w:tcW w:w="1334" w:type="dxa"/>
            <w:noWrap w:val="0"/>
            <w:vAlign w:val="top"/>
          </w:tcPr>
          <w:p w14:paraId="42E48A99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7F6FA67C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568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dxa"/>
            <w:noWrap w:val="0"/>
            <w:vAlign w:val="top"/>
          </w:tcPr>
          <w:p w14:paraId="5E83E7F8">
            <w:r>
              <w:rPr>
                <w:rFonts w:hint="eastAsia"/>
              </w:rPr>
              <w:t>11</w:t>
            </w:r>
          </w:p>
        </w:tc>
        <w:tc>
          <w:tcPr>
            <w:tcW w:w="1955" w:type="dxa"/>
            <w:noWrap w:val="0"/>
            <w:vAlign w:val="top"/>
          </w:tcPr>
          <w:p w14:paraId="797C859D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43AC4588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2A504D4E"/>
        </w:tc>
        <w:tc>
          <w:tcPr>
            <w:tcW w:w="1193" w:type="dxa"/>
            <w:noWrap w:val="0"/>
            <w:vAlign w:val="top"/>
          </w:tcPr>
          <w:p w14:paraId="06BEC703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3DA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5" w:type="dxa"/>
            <w:noWrap w:val="0"/>
            <w:vAlign w:val="top"/>
          </w:tcPr>
          <w:p w14:paraId="79AD77A5">
            <w:r>
              <w:rPr>
                <w:rFonts w:hint="eastAsia"/>
              </w:rPr>
              <w:t>12</w:t>
            </w:r>
          </w:p>
        </w:tc>
        <w:tc>
          <w:tcPr>
            <w:tcW w:w="1955" w:type="dxa"/>
            <w:noWrap w:val="0"/>
            <w:vAlign w:val="top"/>
          </w:tcPr>
          <w:p w14:paraId="60C31002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7081A2E8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4592030D"/>
        </w:tc>
        <w:tc>
          <w:tcPr>
            <w:tcW w:w="1193" w:type="dxa"/>
            <w:noWrap w:val="0"/>
            <w:vAlign w:val="top"/>
          </w:tcPr>
          <w:p w14:paraId="3488CF49">
            <w:pPr>
              <w:rPr>
                <w:rFonts w:hint="default" w:eastAsia="宋体"/>
                <w:lang w:val="en-US" w:eastAsia="zh-CN"/>
              </w:rPr>
            </w:pPr>
          </w:p>
        </w:tc>
      </w:tr>
    </w:tbl>
    <w:p w14:paraId="06EAE0EE">
      <w:pP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664357A">
      <w:pPr>
        <w:ind w:firstLine="964" w:firstLineChars="3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七、铜仁职业技术大学一校三区新增防治设施清单</w:t>
      </w:r>
    </w:p>
    <w:tbl>
      <w:tblPr>
        <w:tblStyle w:val="6"/>
        <w:tblpPr w:leftFromText="180" w:rightFromText="180" w:vertAnchor="text" w:horzAnchor="page" w:tblpX="1372" w:tblpY="212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966"/>
        <w:gridCol w:w="1889"/>
        <w:gridCol w:w="1200"/>
        <w:gridCol w:w="1064"/>
      </w:tblGrid>
      <w:tr w14:paraId="5EA3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29" w:type="dxa"/>
            <w:noWrap w:val="0"/>
            <w:vAlign w:val="top"/>
          </w:tcPr>
          <w:p w14:paraId="461AAD12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设施名称</w:t>
            </w:r>
          </w:p>
        </w:tc>
        <w:tc>
          <w:tcPr>
            <w:tcW w:w="3966" w:type="dxa"/>
            <w:noWrap w:val="0"/>
            <w:vAlign w:val="top"/>
          </w:tcPr>
          <w:p w14:paraId="7ECA1244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设施数量</w:t>
            </w:r>
          </w:p>
        </w:tc>
        <w:tc>
          <w:tcPr>
            <w:tcW w:w="1889" w:type="dxa"/>
            <w:noWrap w:val="0"/>
            <w:vAlign w:val="top"/>
          </w:tcPr>
          <w:p w14:paraId="6EA00BDA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1200" w:type="dxa"/>
            <w:noWrap w:val="0"/>
            <w:vAlign w:val="top"/>
          </w:tcPr>
          <w:p w14:paraId="4F89244E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64" w:type="dxa"/>
            <w:noWrap w:val="0"/>
            <w:vAlign w:val="top"/>
          </w:tcPr>
          <w:p w14:paraId="19E637E1">
            <w:pP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合计</w:t>
            </w:r>
          </w:p>
        </w:tc>
      </w:tr>
      <w:tr w14:paraId="18D9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9" w:type="dxa"/>
            <w:noWrap w:val="0"/>
            <w:vAlign w:val="top"/>
          </w:tcPr>
          <w:p w14:paraId="6147C34A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毒饵盒</w:t>
            </w:r>
          </w:p>
        </w:tc>
        <w:tc>
          <w:tcPr>
            <w:tcW w:w="3966" w:type="dxa"/>
            <w:noWrap w:val="0"/>
            <w:vAlign w:val="top"/>
          </w:tcPr>
          <w:p w14:paraId="72F1349F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889" w:type="dxa"/>
            <w:noWrap w:val="0"/>
            <w:vAlign w:val="top"/>
          </w:tcPr>
          <w:p w14:paraId="1331872F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30×12×12㎝</w:t>
            </w:r>
          </w:p>
        </w:tc>
        <w:tc>
          <w:tcPr>
            <w:tcW w:w="1200" w:type="dxa"/>
            <w:noWrap w:val="0"/>
            <w:vAlign w:val="top"/>
          </w:tcPr>
          <w:p w14:paraId="58BC4500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3C70CC39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148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29" w:type="dxa"/>
            <w:noWrap w:val="0"/>
            <w:vAlign w:val="top"/>
          </w:tcPr>
          <w:p w14:paraId="6BF79F13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诱蝇笼</w:t>
            </w:r>
          </w:p>
        </w:tc>
        <w:tc>
          <w:tcPr>
            <w:tcW w:w="3966" w:type="dxa"/>
            <w:noWrap w:val="0"/>
            <w:vAlign w:val="top"/>
          </w:tcPr>
          <w:p w14:paraId="19EF13E8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889" w:type="dxa"/>
            <w:noWrap w:val="0"/>
            <w:vAlign w:val="top"/>
          </w:tcPr>
          <w:p w14:paraId="4B8FE3EB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20×30㎝</w:t>
            </w:r>
          </w:p>
        </w:tc>
        <w:tc>
          <w:tcPr>
            <w:tcW w:w="1200" w:type="dxa"/>
            <w:noWrap w:val="0"/>
            <w:vAlign w:val="top"/>
          </w:tcPr>
          <w:p w14:paraId="39E220F9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6F9B3D15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603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29" w:type="dxa"/>
            <w:noWrap w:val="0"/>
            <w:vAlign w:val="top"/>
          </w:tcPr>
          <w:p w14:paraId="3B13B4C9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驱蛇装置</w:t>
            </w:r>
          </w:p>
        </w:tc>
        <w:tc>
          <w:tcPr>
            <w:tcW w:w="3966" w:type="dxa"/>
            <w:noWrap w:val="0"/>
            <w:vAlign w:val="top"/>
          </w:tcPr>
          <w:p w14:paraId="46DCCE18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72(个)</w:t>
            </w:r>
          </w:p>
        </w:tc>
        <w:tc>
          <w:tcPr>
            <w:tcW w:w="1889" w:type="dxa"/>
            <w:noWrap w:val="0"/>
            <w:vAlign w:val="top"/>
          </w:tcPr>
          <w:p w14:paraId="5B4D5F78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33×24×20.8㎝</w:t>
            </w:r>
          </w:p>
        </w:tc>
        <w:tc>
          <w:tcPr>
            <w:tcW w:w="1200" w:type="dxa"/>
            <w:noWrap w:val="0"/>
            <w:vAlign w:val="top"/>
          </w:tcPr>
          <w:p w14:paraId="6D0D0765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39D105F4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7F7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29" w:type="dxa"/>
            <w:noWrap w:val="0"/>
            <w:vAlign w:val="top"/>
          </w:tcPr>
          <w:p w14:paraId="1DE2903F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拦蛇网</w:t>
            </w:r>
          </w:p>
        </w:tc>
        <w:tc>
          <w:tcPr>
            <w:tcW w:w="3966" w:type="dxa"/>
            <w:noWrap w:val="0"/>
            <w:vAlign w:val="top"/>
          </w:tcPr>
          <w:p w14:paraId="4C694270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500(米)</w:t>
            </w:r>
          </w:p>
        </w:tc>
        <w:tc>
          <w:tcPr>
            <w:tcW w:w="1889" w:type="dxa"/>
            <w:noWrap w:val="0"/>
            <w:vAlign w:val="top"/>
          </w:tcPr>
          <w:p w14:paraId="245B7096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1000×50㎝</w:t>
            </w:r>
          </w:p>
        </w:tc>
        <w:tc>
          <w:tcPr>
            <w:tcW w:w="1200" w:type="dxa"/>
            <w:noWrap w:val="0"/>
            <w:vAlign w:val="top"/>
          </w:tcPr>
          <w:p w14:paraId="02134437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381567F8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217F0E45">
      <w:pPr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</w:p>
    <w:p w14:paraId="29948D20">
      <w:pPr>
        <w:numPr>
          <w:ilvl w:val="0"/>
          <w:numId w:val="1"/>
        </w:numPr>
        <w:ind w:firstLine="964" w:firstLineChars="3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考核及支付方式</w:t>
      </w:r>
    </w:p>
    <w:p w14:paraId="3A410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考核贯穿全年，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按季度进行考核，分值按百分制计算，满分100分，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每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季度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由学校相关管理部门按照考核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内容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进行考核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75CA2792">
      <w:pPr>
        <w:spacing w:line="56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1.考核内容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：</w:t>
      </w:r>
    </w:p>
    <w:p w14:paraId="1EB9B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（1）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每季度的常规防治与巡查（每月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至少1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次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以上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，提供相关工作记录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缺少一次扣4分，两次扣8分，依次叠加。</w:t>
      </w:r>
    </w:p>
    <w:p w14:paraId="1D67E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（2）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检查防护设施（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毒饵盒、诱蝇笼、驱蛇装置、拦蛇网、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毒鼠屋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等设施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）是否完好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和药物投放到位，平时工作中根据甲方检查，如每月连续出现两次及以上的设施损坏未及时更换，药物投放不到位的，限期整改，未整改的扣除30分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0A5AA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（3）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所有检查、消杀、维护、应急事件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等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，均需形成规范记录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，未形成的扣除10分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1506D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（4）因药物投放或消杀不到位，导致生物害虫到处爬行的，采购人发现一次扣除5分，两次扣10分，依次叠加。</w:t>
      </w:r>
    </w:p>
    <w:p w14:paraId="30BE2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（5）因工作不到位，导致师生投诉的，一次扣5分，两次扣10分。</w:t>
      </w:r>
    </w:p>
    <w:p w14:paraId="016E1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（6）未建立工作台账和相关工作记录的一次扣10分。</w:t>
      </w:r>
    </w:p>
    <w:p w14:paraId="05D26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（7）发现有害生物尸体时，未及时处理的，一次扣5分，两次扣10分。</w:t>
      </w:r>
    </w:p>
    <w:p w14:paraId="285FB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（8）使用药物防治时，建立单独的药物使用台账，并标明使用药物的种类、名称、使用量、使用地点等，未提供台账扣15分。</w:t>
      </w:r>
    </w:p>
    <w:p w14:paraId="09A2A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（9）因工作不到位，造成人员严重伤亡的，一次扣100分，解除合同，伤亡责任由乙方负责。</w:t>
      </w:r>
    </w:p>
    <w:p w14:paraId="355D4F33">
      <w:pPr>
        <w:spacing w:line="56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综合评议与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支付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：</w:t>
      </w:r>
    </w:p>
    <w:p w14:paraId="62F5E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综合评议取一年内四个季度（四次考核）综合平均值</w:t>
      </w:r>
    </w:p>
    <w:p w14:paraId="3BCD2F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综合平均值在90（含90分）分以上的，采购人按一年合同价款全额支付。</w:t>
      </w:r>
    </w:p>
    <w:p w14:paraId="1E3AC1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（2）综合平均值在80-90（不含90分）分的，采购人支付一年合同价款的90%。</w:t>
      </w:r>
    </w:p>
    <w:p w14:paraId="217139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（3）综合平均值在70-80（不含80分）分的，采购人支付一年合同价款的80%。</w:t>
      </w:r>
    </w:p>
    <w:p w14:paraId="7F512E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（4）综合平均值在60-70（不含70分）分的，采购人支付一年合同价款的70%。</w:t>
      </w:r>
    </w:p>
    <w:p w14:paraId="5CB975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（5）综合平均值在59分以下的，采购人支付一年合同价款的50%，采购人下发整改通知，提出整改要求，不按照要求整改，采购人有权终止合同。</w:t>
      </w:r>
    </w:p>
    <w:p w14:paraId="3F6E46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9B396B-C8CE-4D71-994A-7F143038BF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198A6C-20B6-4262-8264-6067B52A5F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123C66-034E-40B6-BF8B-5DD5DA0E8B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067CA8-19EF-425C-AFDE-47D27C140E0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94A7E"/>
    <w:multiLevelType w:val="singleLevel"/>
    <w:tmpl w:val="99394A7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mNmMTU4MTMyMWEwNjM2NGQzZGE4ZjFiY2JiY2MifQ=="/>
  </w:docVars>
  <w:rsids>
    <w:rsidRoot w:val="6ACB09AF"/>
    <w:rsid w:val="001669D4"/>
    <w:rsid w:val="00496DA9"/>
    <w:rsid w:val="006140F3"/>
    <w:rsid w:val="00D20EFE"/>
    <w:rsid w:val="00FB4547"/>
    <w:rsid w:val="01064C9A"/>
    <w:rsid w:val="0127533C"/>
    <w:rsid w:val="014862AB"/>
    <w:rsid w:val="01987FE8"/>
    <w:rsid w:val="01AF0E8E"/>
    <w:rsid w:val="01B36BD0"/>
    <w:rsid w:val="02D45050"/>
    <w:rsid w:val="04C335CE"/>
    <w:rsid w:val="05A607FA"/>
    <w:rsid w:val="05DB04A3"/>
    <w:rsid w:val="06175254"/>
    <w:rsid w:val="06B84C89"/>
    <w:rsid w:val="07043A2A"/>
    <w:rsid w:val="085D1F15"/>
    <w:rsid w:val="095347F5"/>
    <w:rsid w:val="097E7AC3"/>
    <w:rsid w:val="0A081A83"/>
    <w:rsid w:val="0A8235E3"/>
    <w:rsid w:val="0AF53DB5"/>
    <w:rsid w:val="0B204BAA"/>
    <w:rsid w:val="0C9B4A10"/>
    <w:rsid w:val="0CC51EAD"/>
    <w:rsid w:val="0E39220B"/>
    <w:rsid w:val="0E72571D"/>
    <w:rsid w:val="0F227143"/>
    <w:rsid w:val="0F3D21CF"/>
    <w:rsid w:val="1032785A"/>
    <w:rsid w:val="10A047C3"/>
    <w:rsid w:val="10E70644"/>
    <w:rsid w:val="10F16DCD"/>
    <w:rsid w:val="11A976A8"/>
    <w:rsid w:val="12237B08"/>
    <w:rsid w:val="12296A3A"/>
    <w:rsid w:val="125754D1"/>
    <w:rsid w:val="12C0114D"/>
    <w:rsid w:val="138C54D3"/>
    <w:rsid w:val="13CB7DA9"/>
    <w:rsid w:val="13FD21A1"/>
    <w:rsid w:val="145A112D"/>
    <w:rsid w:val="14A16D5C"/>
    <w:rsid w:val="15202377"/>
    <w:rsid w:val="163327BC"/>
    <w:rsid w:val="167C35DD"/>
    <w:rsid w:val="178D35C8"/>
    <w:rsid w:val="18327F38"/>
    <w:rsid w:val="183A54FD"/>
    <w:rsid w:val="18B85D9C"/>
    <w:rsid w:val="190873AA"/>
    <w:rsid w:val="1B754A9E"/>
    <w:rsid w:val="1C400211"/>
    <w:rsid w:val="1DAB47A7"/>
    <w:rsid w:val="1DEA3522"/>
    <w:rsid w:val="1DF47EFC"/>
    <w:rsid w:val="1EFB52BB"/>
    <w:rsid w:val="1FAC4965"/>
    <w:rsid w:val="1FD46237"/>
    <w:rsid w:val="1FE16BA6"/>
    <w:rsid w:val="20146634"/>
    <w:rsid w:val="206D21E8"/>
    <w:rsid w:val="207E073E"/>
    <w:rsid w:val="20D858B3"/>
    <w:rsid w:val="21F20BF7"/>
    <w:rsid w:val="223C00C4"/>
    <w:rsid w:val="22713556"/>
    <w:rsid w:val="246062EC"/>
    <w:rsid w:val="25583E5F"/>
    <w:rsid w:val="25BF5294"/>
    <w:rsid w:val="25E82A3D"/>
    <w:rsid w:val="25FF73E4"/>
    <w:rsid w:val="261206FC"/>
    <w:rsid w:val="26B80661"/>
    <w:rsid w:val="273870AC"/>
    <w:rsid w:val="274B17C1"/>
    <w:rsid w:val="27BF157B"/>
    <w:rsid w:val="290336EA"/>
    <w:rsid w:val="2A202079"/>
    <w:rsid w:val="2A3F0751"/>
    <w:rsid w:val="2A930A9D"/>
    <w:rsid w:val="2ADC41F2"/>
    <w:rsid w:val="2BB611C4"/>
    <w:rsid w:val="2BBB02AC"/>
    <w:rsid w:val="2C2440A3"/>
    <w:rsid w:val="2C3047F6"/>
    <w:rsid w:val="2E383E35"/>
    <w:rsid w:val="2EC83851"/>
    <w:rsid w:val="2ECB2EFB"/>
    <w:rsid w:val="2F012479"/>
    <w:rsid w:val="2F2820FC"/>
    <w:rsid w:val="2FDD2E05"/>
    <w:rsid w:val="311F6719"/>
    <w:rsid w:val="327F2033"/>
    <w:rsid w:val="32C43EEA"/>
    <w:rsid w:val="32FA2A22"/>
    <w:rsid w:val="32FC7B27"/>
    <w:rsid w:val="33E00D4C"/>
    <w:rsid w:val="33E34843"/>
    <w:rsid w:val="343B642D"/>
    <w:rsid w:val="343E7CCC"/>
    <w:rsid w:val="349D2C44"/>
    <w:rsid w:val="34B166F0"/>
    <w:rsid w:val="35CE5D41"/>
    <w:rsid w:val="35F5085E"/>
    <w:rsid w:val="36C7044C"/>
    <w:rsid w:val="37585006"/>
    <w:rsid w:val="37BF1123"/>
    <w:rsid w:val="37EF1A09"/>
    <w:rsid w:val="37F94635"/>
    <w:rsid w:val="387463B2"/>
    <w:rsid w:val="38A34A79"/>
    <w:rsid w:val="390A4620"/>
    <w:rsid w:val="396C0E37"/>
    <w:rsid w:val="398048E2"/>
    <w:rsid w:val="39C24EFB"/>
    <w:rsid w:val="39E92488"/>
    <w:rsid w:val="3A5E4C24"/>
    <w:rsid w:val="3A663AD8"/>
    <w:rsid w:val="3B0909AD"/>
    <w:rsid w:val="3B7F30A4"/>
    <w:rsid w:val="3C131A08"/>
    <w:rsid w:val="3CFB2BFE"/>
    <w:rsid w:val="3D09356D"/>
    <w:rsid w:val="3D332398"/>
    <w:rsid w:val="3E95247A"/>
    <w:rsid w:val="3F0B0AFF"/>
    <w:rsid w:val="3F0F473E"/>
    <w:rsid w:val="3F526FB5"/>
    <w:rsid w:val="3FF57DD8"/>
    <w:rsid w:val="403D52DB"/>
    <w:rsid w:val="407927B7"/>
    <w:rsid w:val="409F1AF2"/>
    <w:rsid w:val="41A970CC"/>
    <w:rsid w:val="432B25A1"/>
    <w:rsid w:val="451E688B"/>
    <w:rsid w:val="455235D7"/>
    <w:rsid w:val="45877724"/>
    <w:rsid w:val="46144D30"/>
    <w:rsid w:val="46222FA9"/>
    <w:rsid w:val="46FA5CD4"/>
    <w:rsid w:val="473867FC"/>
    <w:rsid w:val="475573AE"/>
    <w:rsid w:val="47C307BC"/>
    <w:rsid w:val="47ED5839"/>
    <w:rsid w:val="494871CB"/>
    <w:rsid w:val="49F96717"/>
    <w:rsid w:val="4B8A1D1C"/>
    <w:rsid w:val="4B90510C"/>
    <w:rsid w:val="4CD362CA"/>
    <w:rsid w:val="4DD94895"/>
    <w:rsid w:val="4E0D329E"/>
    <w:rsid w:val="4E546612"/>
    <w:rsid w:val="4ED84B4D"/>
    <w:rsid w:val="50197AA1"/>
    <w:rsid w:val="508A5F9A"/>
    <w:rsid w:val="509C604E"/>
    <w:rsid w:val="50CB50EC"/>
    <w:rsid w:val="518A6C1F"/>
    <w:rsid w:val="51EA06A3"/>
    <w:rsid w:val="523E73BD"/>
    <w:rsid w:val="52462715"/>
    <w:rsid w:val="52B72CCB"/>
    <w:rsid w:val="54CD2C7A"/>
    <w:rsid w:val="55E42029"/>
    <w:rsid w:val="561F3061"/>
    <w:rsid w:val="564E3947"/>
    <w:rsid w:val="56CB4F97"/>
    <w:rsid w:val="57F62EFB"/>
    <w:rsid w:val="58AD0DF8"/>
    <w:rsid w:val="594D6137"/>
    <w:rsid w:val="59A0359A"/>
    <w:rsid w:val="5A511C57"/>
    <w:rsid w:val="5BFB00CD"/>
    <w:rsid w:val="5C036F81"/>
    <w:rsid w:val="5C5A1297"/>
    <w:rsid w:val="5C693288"/>
    <w:rsid w:val="5C6A7000"/>
    <w:rsid w:val="5CC130C4"/>
    <w:rsid w:val="5F814D8D"/>
    <w:rsid w:val="600B28A8"/>
    <w:rsid w:val="60583A30"/>
    <w:rsid w:val="61AD3C17"/>
    <w:rsid w:val="62600C89"/>
    <w:rsid w:val="628801E0"/>
    <w:rsid w:val="628A03FC"/>
    <w:rsid w:val="62F615EE"/>
    <w:rsid w:val="630A5099"/>
    <w:rsid w:val="63260125"/>
    <w:rsid w:val="637349EC"/>
    <w:rsid w:val="64CD45D0"/>
    <w:rsid w:val="64FF6124"/>
    <w:rsid w:val="66CD4D5B"/>
    <w:rsid w:val="670D6F06"/>
    <w:rsid w:val="677D27DC"/>
    <w:rsid w:val="67E61C31"/>
    <w:rsid w:val="6859408F"/>
    <w:rsid w:val="686C46EC"/>
    <w:rsid w:val="687D7700"/>
    <w:rsid w:val="692A1FF1"/>
    <w:rsid w:val="6A1862EE"/>
    <w:rsid w:val="6A58493C"/>
    <w:rsid w:val="6ACB09AF"/>
    <w:rsid w:val="6B4418B6"/>
    <w:rsid w:val="6B6446DD"/>
    <w:rsid w:val="6B9425BC"/>
    <w:rsid w:val="6BBA3256"/>
    <w:rsid w:val="6C171911"/>
    <w:rsid w:val="6CAE4CE7"/>
    <w:rsid w:val="6CB322FE"/>
    <w:rsid w:val="6D3C22F3"/>
    <w:rsid w:val="6DA55D1E"/>
    <w:rsid w:val="6DB86E0B"/>
    <w:rsid w:val="6DE704B1"/>
    <w:rsid w:val="6E2B4343"/>
    <w:rsid w:val="6E9A0985"/>
    <w:rsid w:val="6FDE231C"/>
    <w:rsid w:val="704C0A9F"/>
    <w:rsid w:val="707D50FC"/>
    <w:rsid w:val="71881FAB"/>
    <w:rsid w:val="71BC1C54"/>
    <w:rsid w:val="71E01DE7"/>
    <w:rsid w:val="726E2F4F"/>
    <w:rsid w:val="72EE0533"/>
    <w:rsid w:val="73375A36"/>
    <w:rsid w:val="73C95F93"/>
    <w:rsid w:val="75555137"/>
    <w:rsid w:val="759A04FF"/>
    <w:rsid w:val="75D734B1"/>
    <w:rsid w:val="75FF7E8C"/>
    <w:rsid w:val="78804CC8"/>
    <w:rsid w:val="78E55F35"/>
    <w:rsid w:val="790C526F"/>
    <w:rsid w:val="7ADE49EA"/>
    <w:rsid w:val="7B9A24B3"/>
    <w:rsid w:val="7BCC0CE6"/>
    <w:rsid w:val="7C2645C2"/>
    <w:rsid w:val="7C9537CE"/>
    <w:rsid w:val="7D511DEB"/>
    <w:rsid w:val="7D893333"/>
    <w:rsid w:val="7DDA3B8E"/>
    <w:rsid w:val="7E2117BD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1">
    <w:name w:val="正文（自）"/>
    <w:basedOn w:val="12"/>
    <w:qFormat/>
    <w:uiPriority w:val="0"/>
    <w:pPr>
      <w:spacing w:line="560" w:lineRule="exact"/>
      <w:ind w:firstLine="200" w:firstLineChars="200"/>
    </w:pPr>
    <w:rPr>
      <w:rFonts w:ascii="仿宋_GB2312" w:eastAsia="仿宋"/>
      <w:sz w:val="32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 Char Char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6185</Words>
  <Characters>6508</Characters>
  <Lines>0</Lines>
  <Paragraphs>0</Paragraphs>
  <TotalTime>23</TotalTime>
  <ScaleCrop>false</ScaleCrop>
  <LinksUpToDate>false</LinksUpToDate>
  <CharactersWithSpaces>6527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2024-06-17T02:07:00Z</dcterms:created>
  <dc:creator>邛江丶  小浩</dc:creator>
  <cp:lastModifiedBy>小翻</cp:lastModifiedBy>
  <cp:lastPrinted>2026-01-22T02:38:00Z</cp:lastPrinted>
  <dcterms:modified xsi:type="dcterms:W3CDTF">2026-01-23T08:38:59Z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8C0AD727BA0546AAA7AB5BE111DA45BB_13</vt:lpwstr>
  </property>
  <property fmtid="{D5CDD505-2E9C-101B-9397-08002B2CF9AE}" pid="4" name="KSOTemplateDocerSaveRecord">
    <vt:lpwstr>eyJoZGlkIjoiNmZiNGUyZDZjZDU1Nzc2YzRkYjU4ZjJiYjI0Yzg3YTYiLCJ1c2VySWQiOiI3MjQ2MjA4MDQifQ==</vt:lpwstr>
  </property>
</Properties>
</file>