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  <w:t>铜仁职业技术大学附属医院关于遴选胃肠</w:t>
      </w:r>
      <w:r>
        <w:rPr>
          <w:rFonts w:hint="default" w:ascii="黑体" w:hAnsi="黑体" w:eastAsia="黑体" w:cs="黑体"/>
          <w:b/>
          <w:bCs/>
          <w:spacing w:val="-4"/>
          <w:sz w:val="44"/>
          <w:szCs w:val="44"/>
          <w:lang w:val="en-US" w:eastAsia="en-US"/>
        </w:rPr>
        <w:t>镜</w:t>
      </w:r>
      <w:r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  <w:t>系统</w:t>
      </w:r>
      <w:r>
        <w:rPr>
          <w:rFonts w:hint="default" w:ascii="黑体" w:hAnsi="黑体" w:eastAsia="黑体" w:cs="黑体"/>
          <w:b/>
          <w:bCs/>
          <w:spacing w:val="-4"/>
          <w:sz w:val="44"/>
          <w:szCs w:val="44"/>
          <w:lang w:val="en-US" w:eastAsia="en-US"/>
        </w:rPr>
        <w:t>耗材</w:t>
      </w:r>
      <w:r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  <w:t>及口腔科麻醉耗材采购供应商的</w:t>
      </w:r>
    </w:p>
    <w:p w14:paraId="2889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44"/>
          <w:szCs w:val="44"/>
          <w:lang w:val="en-US" w:eastAsia="zh-CN"/>
        </w:rPr>
        <w:t>公告</w:t>
      </w:r>
    </w:p>
    <w:p w14:paraId="33C56F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5A76DE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、项目信息</w:t>
      </w:r>
      <w:bookmarkStart w:id="0" w:name="_GoBack"/>
      <w:bookmarkEnd w:id="0"/>
    </w:p>
    <w:p w14:paraId="3D9415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铜仁职业技术大学附属医院胃肠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en-US" w:bidi="ar-SA"/>
        </w:rPr>
        <w:t>镜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系统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en-US" w:bidi="ar-SA"/>
        </w:rPr>
        <w:t>耗材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及口腔科麻醉耗材采购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项目</w:t>
      </w:r>
    </w:p>
    <w:p w14:paraId="3CABE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2.供货服务期限：1年</w:t>
      </w:r>
    </w:p>
    <w:p w14:paraId="75DE88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3.预算金额：最高限价10万元整</w:t>
      </w:r>
    </w:p>
    <w:p w14:paraId="680256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4.项目概况：根据医院发展，患者的需求，临床诊疗工作的需要，我院开展胃肠镜检查及舒适牙科麻醉项目，现需要采购相关使用耗材。</w:t>
      </w:r>
    </w:p>
    <w:p w14:paraId="7980E4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名截止时间、地点及方式</w:t>
      </w:r>
    </w:p>
    <w:p w14:paraId="5F887D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1.报名截止时间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：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2025年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日（星期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-2025年12月18日（星期四）(报名截止时间内08:00-17:30均可报名）</w:t>
      </w:r>
    </w:p>
    <w:p w14:paraId="353A85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firstLine="560" w:firstLineChars="20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2.报名地点：铜仁职业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技术学院附属医院七楼总务科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办公室，联系人：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杨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老师（联系电话：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18608567021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</w:p>
    <w:p w14:paraId="0EE9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3.报名方式：报名时提交有效的营业执照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、二类医疗器械经营许可证，二类医疗器械注册证，医疗器械注册表及附件、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法定代表人身份证或委托代理人持授权委托书及代理人身份证（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上述材料均需加盖投标单位公章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6E36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outlineLvl w:val="0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三、投标文件的组成要求</w:t>
      </w:r>
    </w:p>
    <w:p w14:paraId="33E8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投标文件由下列内容组成：</w:t>
      </w:r>
    </w:p>
    <w:p w14:paraId="65532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● 竞价投标函（附折扣率或下浮率报价清单）；</w:t>
      </w:r>
    </w:p>
    <w:p w14:paraId="55D0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● 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法定代表人身份证或委托代理人授权委托书及代理人身份证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21DE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● 资格性审查资料；</w:t>
      </w:r>
    </w:p>
    <w:p w14:paraId="115B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● 符合性审查资料</w:t>
      </w:r>
    </w:p>
    <w:p w14:paraId="3D5A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● 售后服务承诺；</w:t>
      </w:r>
    </w:p>
    <w:p w14:paraId="65A5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● 供应商认为有必要提交的其他材料</w:t>
      </w:r>
    </w:p>
    <w:p w14:paraId="7EBF51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投标资料编制要求</w:t>
      </w:r>
    </w:p>
    <w:p w14:paraId="54A736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1.投标文件份数：纸质文件正副两份；</w:t>
      </w:r>
    </w:p>
    <w:p w14:paraId="748A27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2.投标文件的制作与装订要求：须使用A4纸打印，胶装、编制目录、页码。</w:t>
      </w:r>
    </w:p>
    <w:p w14:paraId="281E18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3.封套上标记要求：竞标人应对投标文件进行密封，并标明项目名称、招标人名称、竞标人名称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、地址、联系人及联系方式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，注明“开标时间以前不得开封”等字样，加盖投标单位公章。</w:t>
      </w:r>
    </w:p>
    <w:p w14:paraId="0AA57D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4.签字或盖章要求：投标文件按格式要求盖章、签字；投标文件须逐页加盖投标单位公章。</w:t>
      </w:r>
    </w:p>
    <w:p w14:paraId="44DC00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5.竞价投标函应加盖供应商公章并经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具有独立承担民事责任的能力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供应商的法定代表人或其被委托人签字或盖章。竞价投标函签字、盖章后，视为供应商对所有的竞价文件内容均已确认。委托代理人参加竞价的，竞价文件必须附授权委托书，授权委托书内容、签字、盖章应符合要求。</w:t>
      </w:r>
    </w:p>
    <w:p w14:paraId="2240AD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未按上述要求编制投标文件的，视为不满足采购需求。</w:t>
      </w:r>
    </w:p>
    <w:p w14:paraId="56BB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outlineLvl w:val="0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五、资格性审查资料要求</w:t>
      </w:r>
    </w:p>
    <w:p w14:paraId="6DBF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1.提供营业执照，医疗器械经营许可证，医疗器械注册证，医疗器械注册表及附件；</w:t>
      </w:r>
    </w:p>
    <w:p w14:paraId="1053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2.供应商回避要求：单位负责人为同一人或者存在直接控股、管理关系的不同供应商，不得参加同一合同项下的采购活动，提供承诺函（格式自拟）；</w:t>
      </w:r>
    </w:p>
    <w:p w14:paraId="1F6E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3.提供无重大违法记录：提供参加政府采购活动近3年内在经营活动中没有重大违法记录的书面声明（格式自拟）；</w:t>
      </w:r>
    </w:p>
    <w:p w14:paraId="5970A9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601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供应商未被列入“信用中国”网站中记录“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失信被执行人、重大税收违法案件当事人名单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政府采购严重违法失信行为记录名单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”的记录名单；不处于中国政府采购网中“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政府采购严重违法失信行为信息记录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”的禁止参加政府采购活动期间。如在记录内应当拒绝其参与政府采购活动，如查询结果显示“没查到您要的信息”，视为没有上述不良信用记录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6348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查询截止时间：竞价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公示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期间；信用信息查询记录和证据留存方式：投标单位提供查询记录截图（上传两个网站均需要查询）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，置于标书内。</w:t>
      </w:r>
    </w:p>
    <w:p w14:paraId="5F67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outlineLvl w:val="0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五、符合性审查资料要求</w:t>
      </w:r>
    </w:p>
    <w:p w14:paraId="2BE62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jc w:val="both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1.所投耗材规格参数响应表；</w:t>
      </w:r>
    </w:p>
    <w:p w14:paraId="0CDE83EA">
      <w:pPr>
        <w:pStyle w:val="3"/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ind w:left="0" w:leftChars="0" w:firstLine="0" w:firstLineChars="0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六、售后服务要求</w:t>
      </w:r>
    </w:p>
    <w:tbl>
      <w:tblPr>
        <w:tblStyle w:val="9"/>
        <w:tblpPr w:leftFromText="180" w:rightFromText="180" w:vertAnchor="text" w:horzAnchor="page" w:tblpX="989" w:tblpY="208"/>
        <w:tblOverlap w:val="never"/>
        <w:tblW w:w="96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830"/>
      </w:tblGrid>
      <w:tr w14:paraId="4AB0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30" w:type="dxa"/>
            <w:vAlign w:val="center"/>
          </w:tcPr>
          <w:p w14:paraId="73F8BDA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0" w:lineRule="auto"/>
              <w:ind w:left="638" w:right="145" w:hanging="47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7830" w:type="dxa"/>
            <w:vAlign w:val="center"/>
          </w:tcPr>
          <w:p w14:paraId="4AFDD4C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商务要求内容</w:t>
            </w:r>
          </w:p>
        </w:tc>
      </w:tr>
      <w:tr w14:paraId="32394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30" w:type="dxa"/>
            <w:vAlign w:val="center"/>
          </w:tcPr>
          <w:p w14:paraId="47A8B47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采购期限</w:t>
            </w:r>
          </w:p>
        </w:tc>
        <w:tc>
          <w:tcPr>
            <w:tcW w:w="7830" w:type="dxa"/>
            <w:vAlign w:val="center"/>
          </w:tcPr>
          <w:p w14:paraId="6E304B7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right="105" w:rightChars="0" w:firstLine="420" w:firstLineChars="20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订日起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365天。</w:t>
            </w:r>
          </w:p>
        </w:tc>
      </w:tr>
      <w:tr w14:paraId="6553E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30" w:type="dxa"/>
            <w:vAlign w:val="center"/>
          </w:tcPr>
          <w:p w14:paraId="0C8BD9C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</w:t>
            </w:r>
          </w:p>
        </w:tc>
        <w:tc>
          <w:tcPr>
            <w:tcW w:w="7830" w:type="dxa"/>
            <w:vAlign w:val="center"/>
          </w:tcPr>
          <w:p w14:paraId="6656269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right="105" w:rightChars="0" w:firstLine="420" w:firstLineChars="200"/>
              <w:jc w:val="left"/>
              <w:textAlignment w:val="baseline"/>
              <w:rPr>
                <w:rFonts w:hint="eastAsia" w:ascii="仿宋" w:hAnsi="仿宋" w:eastAsia="宋体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</w:p>
        </w:tc>
      </w:tr>
      <w:tr w14:paraId="7C08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30" w:type="dxa"/>
            <w:vAlign w:val="center"/>
          </w:tcPr>
          <w:p w14:paraId="470B808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供货方式</w:t>
            </w:r>
          </w:p>
        </w:tc>
        <w:tc>
          <w:tcPr>
            <w:tcW w:w="7830" w:type="dxa"/>
            <w:vAlign w:val="center"/>
          </w:tcPr>
          <w:p w14:paraId="4EA16B0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送货上门</w:t>
            </w:r>
          </w:p>
        </w:tc>
      </w:tr>
      <w:tr w14:paraId="469BD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30" w:type="dxa"/>
            <w:vAlign w:val="center"/>
          </w:tcPr>
          <w:p w14:paraId="6491B09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供货时间</w:t>
            </w:r>
          </w:p>
        </w:tc>
        <w:tc>
          <w:tcPr>
            <w:tcW w:w="7830" w:type="dxa"/>
            <w:vAlign w:val="center"/>
          </w:tcPr>
          <w:p w14:paraId="7FE647B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24小时内响应供货，收货时段工作日09:00至17:00</w:t>
            </w:r>
          </w:p>
        </w:tc>
      </w:tr>
      <w:tr w14:paraId="765E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30" w:type="dxa"/>
            <w:vAlign w:val="center"/>
          </w:tcPr>
          <w:p w14:paraId="24ECAD1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供货地点</w:t>
            </w:r>
          </w:p>
        </w:tc>
        <w:tc>
          <w:tcPr>
            <w:tcW w:w="7830" w:type="dxa"/>
            <w:vAlign w:val="center"/>
          </w:tcPr>
          <w:p w14:paraId="65E8D29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4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铜仁职业技术学院附属医院（贵州省铜仁市碧江区锦江北路27号）</w:t>
            </w:r>
          </w:p>
        </w:tc>
      </w:tr>
      <w:tr w14:paraId="2DAFB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830" w:type="dxa"/>
            <w:vAlign w:val="center"/>
          </w:tcPr>
          <w:p w14:paraId="2159442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right="183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验收、交付标准</w:t>
            </w:r>
          </w:p>
        </w:tc>
        <w:tc>
          <w:tcPr>
            <w:tcW w:w="7830" w:type="dxa"/>
            <w:vAlign w:val="center"/>
          </w:tcPr>
          <w:p w14:paraId="348473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6" w:lineRule="auto"/>
              <w:ind w:right="105" w:rightChars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供货时提供供货清单，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产品必须为正品，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采购人组成验收小组按国家有关规定、规范进行验收，必要时邀请相关的专业人员或机构参与验收。因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质量问题发生争议时，由本地质量技术监督部门鉴定。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符合质量技术标准的，鉴定费由采购人承担；否则鉴定费由中标人承担。</w:t>
            </w:r>
          </w:p>
        </w:tc>
      </w:tr>
      <w:tr w14:paraId="1BD20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0" w:type="dxa"/>
            <w:vAlign w:val="center"/>
          </w:tcPr>
          <w:p w14:paraId="458D2CE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2" w:lineRule="auto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支付方式</w:t>
            </w:r>
          </w:p>
        </w:tc>
        <w:tc>
          <w:tcPr>
            <w:tcW w:w="7830" w:type="dxa"/>
            <w:vAlign w:val="center"/>
          </w:tcPr>
          <w:p w14:paraId="39BCBA8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2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银行转账</w:t>
            </w:r>
          </w:p>
        </w:tc>
      </w:tr>
      <w:tr w14:paraId="15432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30" w:type="dxa"/>
            <w:vAlign w:val="center"/>
          </w:tcPr>
          <w:p w14:paraId="574BBDC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right="183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830" w:type="dxa"/>
            <w:vAlign w:val="center"/>
          </w:tcPr>
          <w:p w14:paraId="79E313C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4" w:lineRule="auto"/>
              <w:ind w:right="105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以签订合同为准。</w:t>
            </w:r>
          </w:p>
        </w:tc>
      </w:tr>
      <w:tr w14:paraId="1D9C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830" w:type="dxa"/>
            <w:vAlign w:val="center"/>
          </w:tcPr>
          <w:p w14:paraId="61C24B0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right="183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57534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right="183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响应要求</w:t>
            </w:r>
          </w:p>
        </w:tc>
        <w:tc>
          <w:tcPr>
            <w:tcW w:w="7830" w:type="dxa"/>
            <w:vAlign w:val="center"/>
          </w:tcPr>
          <w:p w14:paraId="2B510F9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2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为保障供货商品品质质量，投标单位严格按照采购需求内明确的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参数进行响应，不接受其他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技术参数响应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视为不符合。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中标后提供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明细单价。</w:t>
            </w:r>
          </w:p>
        </w:tc>
      </w:tr>
      <w:tr w14:paraId="6718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830" w:type="dxa"/>
            <w:vAlign w:val="center"/>
          </w:tcPr>
          <w:p w14:paraId="1B4EEB8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right="183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中标后无故未履约处理原则</w:t>
            </w:r>
          </w:p>
        </w:tc>
        <w:tc>
          <w:tcPr>
            <w:tcW w:w="7830" w:type="dxa"/>
            <w:vAlign w:val="center"/>
          </w:tcPr>
          <w:p w14:paraId="0417C48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2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中标公示结束后，无故不签订合同供货的，将依规向行政主管部门进行投诉处理，请各投标单位评估自身成本，避免恶意竞争。</w:t>
            </w:r>
          </w:p>
        </w:tc>
      </w:tr>
    </w:tbl>
    <w:p w14:paraId="74FE6902">
      <w:pPr>
        <w:pStyle w:val="3"/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ind w:left="0" w:leftChars="0" w:firstLine="0" w:firstLineChars="0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6C22B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leftChars="0" w:right="0" w:rightChars="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内容</w:t>
      </w:r>
    </w:p>
    <w:p w14:paraId="40D99F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详见附件铜仁职业技术学院附属医院胃肠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en-US" w:bidi="ar-SA"/>
        </w:rPr>
        <w:t>镜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系统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en-US" w:bidi="ar-SA"/>
        </w:rPr>
        <w:t>耗材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及口腔科麻醉耗材采购清单</w:t>
      </w:r>
    </w:p>
    <w:p w14:paraId="347244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leftChars="0" w:right="0" w:rightChars="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八、开标时间、地点及公示期</w:t>
      </w:r>
    </w:p>
    <w:p w14:paraId="2BD4BF0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开标时间：2025年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日（星期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下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午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: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00</w:t>
      </w:r>
    </w:p>
    <w:p w14:paraId="479437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开标地点：铜仁职业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技术学院附属医院二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楼会议室。</w:t>
      </w:r>
    </w:p>
    <w:p w14:paraId="67FF97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3.中标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公示期：2025年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-2025年12月24日</w:t>
      </w:r>
    </w:p>
    <w:p w14:paraId="2C3CD6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leftChars="0" w:right="0" w:rightChars="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九、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招标方式、中标原则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及报价形式</w:t>
      </w:r>
    </w:p>
    <w:p w14:paraId="28B9C4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1.招标方式：</w:t>
      </w:r>
    </w:p>
    <w:p w14:paraId="366461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本项目采取竞争性谈判，在铜仁职业技术大学校园官网招标采购栏目公示，投标人现场报名，开标现场递交投标文件参与投标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，投标文件报价作为第一轮报价，现场报价作为第二轮报价，取第二轮报价最低，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有效投标须满足三家,不足三家作废标处理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6638080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2.中标原则：</w:t>
      </w:r>
    </w:p>
    <w:p w14:paraId="7615B2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根据评审标准，通过资格性符合性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和符合性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审查完全响应招标要求且报价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以单价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最低的投标人为中标单位。</w:t>
      </w:r>
    </w:p>
    <w:p w14:paraId="0F5FFC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3.报价形式</w:t>
      </w:r>
    </w:p>
    <w:p w14:paraId="357C776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right="0" w:rightChars="0" w:firstLine="560" w:firstLineChars="20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本次报价按采购最高限制单价的折扣率或下浮率报价</w:t>
      </w:r>
    </w:p>
    <w:p w14:paraId="498ABD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3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其他</w:t>
      </w:r>
    </w:p>
    <w:p w14:paraId="17B957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中标单位承担招标代理服务项目专家论证、评审费用。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  </w:t>
      </w:r>
    </w:p>
    <w:p w14:paraId="53E898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3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招标人及联系方式</w:t>
      </w:r>
    </w:p>
    <w:p w14:paraId="200203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招 标 人：铜仁职业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技术学院附属医院</w:t>
      </w:r>
    </w:p>
    <w:p w14:paraId="059FE9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地   址：贵州省铜仁市碧江区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锦江北路27号</w:t>
      </w: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 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    </w:t>
      </w:r>
    </w:p>
    <w:p w14:paraId="0F27E7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联 系 人：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杨国亮</w:t>
      </w:r>
    </w:p>
    <w:p w14:paraId="10275D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topLinePunct w:val="0"/>
        <w:autoSpaceDE/>
        <w:autoSpaceDN/>
        <w:bidi w:val="0"/>
        <w:spacing w:before="150" w:beforeAutospacing="0" w:after="0" w:afterAutospacing="0" w:line="520" w:lineRule="exact"/>
        <w:ind w:left="0" w:right="0" w:firstLine="640"/>
        <w:jc w:val="left"/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18085600697</w:t>
      </w:r>
    </w:p>
    <w:p w14:paraId="7C34D943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37A750F0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6A30C03B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4BBFD0D2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567535F4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07D39BCB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5429441A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76F86378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13C0F943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附件</w:t>
      </w:r>
    </w:p>
    <w:tbl>
      <w:tblPr>
        <w:tblStyle w:val="5"/>
        <w:tblW w:w="50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534"/>
        <w:gridCol w:w="2400"/>
        <w:gridCol w:w="697"/>
        <w:gridCol w:w="600"/>
        <w:gridCol w:w="453"/>
        <w:gridCol w:w="847"/>
        <w:gridCol w:w="535"/>
        <w:gridCol w:w="940"/>
        <w:gridCol w:w="18"/>
      </w:tblGrid>
      <w:tr w14:paraId="7C8B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4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F91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铜仁职业技术学院附属医院胃肠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  <w:t>镜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系统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  <w:t>耗材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及口腔科麻醉耗材采购响应清单表</w:t>
            </w:r>
          </w:p>
        </w:tc>
      </w:tr>
      <w:tr w14:paraId="2B96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FA2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FF1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D8C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招标规格参数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089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246EF5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0D0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响应规格参数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45E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1C3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最高限单价（元）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5D5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年度预算数量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7E4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AAA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BB9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AD4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一次性使用活组织取样钳（胃）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4A4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AG-5019-2316/5019型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3EE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2B9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660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4B5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80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866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E32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0B4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FE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一次性使用活组织取样钳（肠）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32F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AG-5019-2323/5019型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C5D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F43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131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694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5DD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EC5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3330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F3F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3A9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可旋转重复开闭软组织夹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907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ROCC-F-26-195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292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25A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1D1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479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C6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F1A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85E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6B5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CC0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可旋转重复开闭软组织夹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331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ROCC-D-26-195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931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843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467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485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BB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F30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4C19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C28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022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邻苯二甲醛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704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含量0.55%±0.55%（W/V）5L/桶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A29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DF6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F25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2A2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3F2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C36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31FC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8A9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95C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口垫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56F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松紧无舌F型</w:t>
            </w:r>
          </w:p>
          <w:p w14:paraId="056FE17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CA7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528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970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BEF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ED7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60B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BD8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F90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95E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58C8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8×8×8CM</w:t>
            </w:r>
          </w:p>
          <w:p w14:paraId="36519A9B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医用的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脱脂棉纱布为主要原材料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3F03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9CE9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59B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ED7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86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DCD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B2F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6BD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7FB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多酶洗液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3D5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超浓缩，低泡型；</w:t>
            </w:r>
          </w:p>
          <w:p w14:paraId="477FCC1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 /桶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B80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160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442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542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7FE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79F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50D2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A9A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D44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6A2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 900X1500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2AF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25A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835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7B4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59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B74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38AA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89D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5FB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组织病理申请单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2526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纸板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6398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B85A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4A2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9C9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86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C4A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0C3C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D14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148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复合中和洗脱液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1E1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  （内镜用）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396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1F9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0B4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34D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F6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1D9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5C85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BE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CE5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样本盒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1DB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塑管 10ML容量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0B1C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ACA5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C24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DA2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95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7C2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DA6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095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928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钙石灰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E2D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（SJ-CL1） 4.5Kg桶装 2桶/件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7FD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2CB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CF0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14C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941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F2A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103D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DE5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A38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一次性麻醉呼吸管路和接头</w:t>
            </w:r>
          </w:p>
        </w:tc>
        <w:tc>
          <w:tcPr>
            <w:tcW w:w="14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52A11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H-5K22*650*2000-27(成人或儿童可伸缩+大气囊+面罩+过滤器)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4FF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0D5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49C3D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  <w:p w14:paraId="791D771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1159F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A42D5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899A9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689EB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B2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DD11B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5C40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890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EA7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3963D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573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5D6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220CF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ECDE2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1BA21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EAE5C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14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34A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ABE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一次性鼻氧管</w:t>
            </w:r>
          </w:p>
        </w:tc>
        <w:tc>
          <w:tcPr>
            <w:tcW w:w="1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509FD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448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E2B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417FD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3FA91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70538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881AB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8B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437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CC4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麻醉回路储气囊</w:t>
            </w:r>
          </w:p>
        </w:tc>
        <w:tc>
          <w:tcPr>
            <w:tcW w:w="14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FE24B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7F8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38F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DF8BF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B8409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4D6F0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22F32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C7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027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58B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一次性使用呼吸麻醉管路过滤器</w:t>
            </w:r>
          </w:p>
        </w:tc>
        <w:tc>
          <w:tcPr>
            <w:tcW w:w="14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09C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44E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274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A4C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8DA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552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66E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63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2F4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856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氧气减压阀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D6C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3A3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FF1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DE9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67E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541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8B3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00AA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4AD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666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一次性使用气管导管（带管芯）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F2A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各型号（普通型）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59F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F59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7AA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722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C57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599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08EB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6CD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666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一次性使用气管导管（带管芯）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C1A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各型号（加强型）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6B8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02E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9D4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612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B63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7BE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2A1E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853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3C6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口咽通气道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C88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27B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8DB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892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E2D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E4B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66C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1598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974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FD0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6BC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5C9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3AD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CF6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EF4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17B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A2E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04BB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AE9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8E5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胶带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E80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PE型  1.25x910 1卷/袋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822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1EE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B83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8F2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D39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725E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44FE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885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282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一次性使用静脉连接管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3B12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F7B9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D10C">
            <w:pPr>
              <w:keepNext w:val="0"/>
              <w:keepLines w:val="0"/>
              <w:pageBreakBefore w:val="0"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184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753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1C5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82C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0BC6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024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904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一次性吸痰管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429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C3C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52D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44B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3DA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C6B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E0B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C68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274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F19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一次性使用加强型喉罩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D07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加强型单腔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F24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3A9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499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F49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1E9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A86C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D25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952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BA5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FD31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059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F4D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77ED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A317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5B5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CD8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70B4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859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749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呼吸鼻罩/喉罩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3FF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单腔普通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785A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CE2B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A3AF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AC44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E55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10E6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按实际需求供货</w:t>
            </w:r>
          </w:p>
        </w:tc>
      </w:tr>
      <w:tr w14:paraId="6BC4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D1A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汇总单价</w:t>
            </w:r>
          </w:p>
        </w:tc>
        <w:tc>
          <w:tcPr>
            <w:tcW w:w="32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CE72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sum(G3:G31)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84F8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11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43" w:hRule="atLeast"/>
          <w:jc w:val="center"/>
        </w:trPr>
        <w:tc>
          <w:tcPr>
            <w:tcW w:w="44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92A3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注:各投标人只须报价下浮率或折扣率，实际成交单价按限制单价×折扣率结算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9470">
            <w:pPr>
              <w:keepNext w:val="0"/>
              <w:keepLines w:val="0"/>
              <w:pageBreakBefore w:val="0"/>
              <w:widowControl/>
              <w:suppressLineNumbers w:val="0"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635C80A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2FB086CF">
      <w:pPr>
        <w:keepNext w:val="0"/>
        <w:keepLines w:val="0"/>
        <w:pageBreakBefore w:val="0"/>
        <w:topLinePunct w:val="0"/>
        <w:autoSpaceDE/>
        <w:autoSpaceDN/>
        <w:bidi w:val="0"/>
        <w:spacing w:line="520" w:lineRule="exact"/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3AAD"/>
    <w:rsid w:val="00BB3F65"/>
    <w:rsid w:val="016560F8"/>
    <w:rsid w:val="01763BCE"/>
    <w:rsid w:val="017A7C48"/>
    <w:rsid w:val="01EA0118"/>
    <w:rsid w:val="024540F1"/>
    <w:rsid w:val="031418F0"/>
    <w:rsid w:val="0314369E"/>
    <w:rsid w:val="04304CD4"/>
    <w:rsid w:val="04510922"/>
    <w:rsid w:val="04F80D9E"/>
    <w:rsid w:val="053840F0"/>
    <w:rsid w:val="061834A6"/>
    <w:rsid w:val="06225D0E"/>
    <w:rsid w:val="06C673A5"/>
    <w:rsid w:val="073A2049"/>
    <w:rsid w:val="076369A2"/>
    <w:rsid w:val="08471E20"/>
    <w:rsid w:val="089F03A9"/>
    <w:rsid w:val="09300B06"/>
    <w:rsid w:val="09C15C02"/>
    <w:rsid w:val="09E45F0D"/>
    <w:rsid w:val="09F935EE"/>
    <w:rsid w:val="0A374116"/>
    <w:rsid w:val="0A6A44EC"/>
    <w:rsid w:val="0AF12517"/>
    <w:rsid w:val="0B6158EF"/>
    <w:rsid w:val="0DC176D7"/>
    <w:rsid w:val="0E016F15"/>
    <w:rsid w:val="0E1C51DE"/>
    <w:rsid w:val="0E3A5F83"/>
    <w:rsid w:val="0E6652FE"/>
    <w:rsid w:val="0EC71F0D"/>
    <w:rsid w:val="0ED168E7"/>
    <w:rsid w:val="0F3F1AA3"/>
    <w:rsid w:val="0F670FFA"/>
    <w:rsid w:val="0F7D25CB"/>
    <w:rsid w:val="0FCD3553"/>
    <w:rsid w:val="106D43EE"/>
    <w:rsid w:val="10CA7A92"/>
    <w:rsid w:val="11162CD7"/>
    <w:rsid w:val="115A7068"/>
    <w:rsid w:val="128B14A3"/>
    <w:rsid w:val="12A339AC"/>
    <w:rsid w:val="13113756"/>
    <w:rsid w:val="13132C80"/>
    <w:rsid w:val="13427DB4"/>
    <w:rsid w:val="13914897"/>
    <w:rsid w:val="13B374C8"/>
    <w:rsid w:val="13B50586"/>
    <w:rsid w:val="13B62550"/>
    <w:rsid w:val="13DA623E"/>
    <w:rsid w:val="14EC447B"/>
    <w:rsid w:val="1527592D"/>
    <w:rsid w:val="15842905"/>
    <w:rsid w:val="1585042C"/>
    <w:rsid w:val="15F80BFE"/>
    <w:rsid w:val="163A6CA3"/>
    <w:rsid w:val="16695657"/>
    <w:rsid w:val="17471E3D"/>
    <w:rsid w:val="17E017DE"/>
    <w:rsid w:val="18495740"/>
    <w:rsid w:val="187345DF"/>
    <w:rsid w:val="18826EA4"/>
    <w:rsid w:val="18860743"/>
    <w:rsid w:val="18CD0120"/>
    <w:rsid w:val="18E70D08"/>
    <w:rsid w:val="18F25DD8"/>
    <w:rsid w:val="19761206"/>
    <w:rsid w:val="19C924FC"/>
    <w:rsid w:val="19CA28B1"/>
    <w:rsid w:val="19F45B80"/>
    <w:rsid w:val="1A002777"/>
    <w:rsid w:val="1A5D02EB"/>
    <w:rsid w:val="1AF44089"/>
    <w:rsid w:val="1B5A7C65"/>
    <w:rsid w:val="1B7C5E2D"/>
    <w:rsid w:val="1B9A2198"/>
    <w:rsid w:val="1C27223D"/>
    <w:rsid w:val="1C546EE2"/>
    <w:rsid w:val="1C827473"/>
    <w:rsid w:val="1CEB6DC6"/>
    <w:rsid w:val="1D2D73DF"/>
    <w:rsid w:val="1DB52284"/>
    <w:rsid w:val="1DFA3734"/>
    <w:rsid w:val="1EC2624D"/>
    <w:rsid w:val="1F3802BD"/>
    <w:rsid w:val="1F3C5FFF"/>
    <w:rsid w:val="1F9F6B3E"/>
    <w:rsid w:val="1FAD0CAB"/>
    <w:rsid w:val="20FB5A46"/>
    <w:rsid w:val="21110DC5"/>
    <w:rsid w:val="218E68BA"/>
    <w:rsid w:val="21AD4F92"/>
    <w:rsid w:val="229677D4"/>
    <w:rsid w:val="23151041"/>
    <w:rsid w:val="233D0AB3"/>
    <w:rsid w:val="234E65B1"/>
    <w:rsid w:val="23C55EAD"/>
    <w:rsid w:val="23F46EA8"/>
    <w:rsid w:val="24062738"/>
    <w:rsid w:val="247B4ED4"/>
    <w:rsid w:val="249B5576"/>
    <w:rsid w:val="24C04A9F"/>
    <w:rsid w:val="24FA112D"/>
    <w:rsid w:val="25761B3F"/>
    <w:rsid w:val="267E6EFD"/>
    <w:rsid w:val="26EA6341"/>
    <w:rsid w:val="273463CA"/>
    <w:rsid w:val="27AA17C7"/>
    <w:rsid w:val="28435E13"/>
    <w:rsid w:val="286D0FD7"/>
    <w:rsid w:val="289522DC"/>
    <w:rsid w:val="29D33359"/>
    <w:rsid w:val="2AED4073"/>
    <w:rsid w:val="2B093A4F"/>
    <w:rsid w:val="2B17347C"/>
    <w:rsid w:val="2B667F60"/>
    <w:rsid w:val="2C414745"/>
    <w:rsid w:val="2C73502A"/>
    <w:rsid w:val="2CD05FD9"/>
    <w:rsid w:val="2CEF5652"/>
    <w:rsid w:val="2D6A4C28"/>
    <w:rsid w:val="2DCA2A28"/>
    <w:rsid w:val="2DE47F8D"/>
    <w:rsid w:val="2E5D1AEE"/>
    <w:rsid w:val="2EA80FBB"/>
    <w:rsid w:val="2EB55486"/>
    <w:rsid w:val="2EB86982"/>
    <w:rsid w:val="2EF73CF0"/>
    <w:rsid w:val="2EFA558F"/>
    <w:rsid w:val="2F0D715C"/>
    <w:rsid w:val="2F191EB9"/>
    <w:rsid w:val="2F917CA1"/>
    <w:rsid w:val="30197C97"/>
    <w:rsid w:val="30F523E0"/>
    <w:rsid w:val="31815AF3"/>
    <w:rsid w:val="318D4498"/>
    <w:rsid w:val="31CD6B68"/>
    <w:rsid w:val="32C97752"/>
    <w:rsid w:val="33130086"/>
    <w:rsid w:val="341113B0"/>
    <w:rsid w:val="34232E92"/>
    <w:rsid w:val="3459377A"/>
    <w:rsid w:val="349B6ECC"/>
    <w:rsid w:val="34DF500B"/>
    <w:rsid w:val="3523490A"/>
    <w:rsid w:val="357F67EE"/>
    <w:rsid w:val="362178A5"/>
    <w:rsid w:val="362A0081"/>
    <w:rsid w:val="36435A6D"/>
    <w:rsid w:val="36633578"/>
    <w:rsid w:val="36A52284"/>
    <w:rsid w:val="36B64491"/>
    <w:rsid w:val="36EA7C97"/>
    <w:rsid w:val="37384EA6"/>
    <w:rsid w:val="376C68FE"/>
    <w:rsid w:val="377C1237"/>
    <w:rsid w:val="379A346B"/>
    <w:rsid w:val="37BA58BB"/>
    <w:rsid w:val="37D270A9"/>
    <w:rsid w:val="37D56B99"/>
    <w:rsid w:val="37EE37B7"/>
    <w:rsid w:val="37F92341"/>
    <w:rsid w:val="38125624"/>
    <w:rsid w:val="394E6C03"/>
    <w:rsid w:val="39974106"/>
    <w:rsid w:val="3A064DE8"/>
    <w:rsid w:val="3A2435A0"/>
    <w:rsid w:val="3A3556CD"/>
    <w:rsid w:val="3A386465"/>
    <w:rsid w:val="3B066B81"/>
    <w:rsid w:val="3B143534"/>
    <w:rsid w:val="3B6C511E"/>
    <w:rsid w:val="3BB05953"/>
    <w:rsid w:val="3BE63123"/>
    <w:rsid w:val="3C9963E7"/>
    <w:rsid w:val="3CB925E5"/>
    <w:rsid w:val="3CFE449C"/>
    <w:rsid w:val="3D567E34"/>
    <w:rsid w:val="3D7F55DD"/>
    <w:rsid w:val="3D9D223B"/>
    <w:rsid w:val="3DEB0EC4"/>
    <w:rsid w:val="3E0C2BE9"/>
    <w:rsid w:val="3E5500EC"/>
    <w:rsid w:val="3E9C18AA"/>
    <w:rsid w:val="3EED2A1A"/>
    <w:rsid w:val="3F1C50AD"/>
    <w:rsid w:val="3F373C95"/>
    <w:rsid w:val="3F8E7D59"/>
    <w:rsid w:val="3FEA0D08"/>
    <w:rsid w:val="401A339B"/>
    <w:rsid w:val="40672358"/>
    <w:rsid w:val="41523008"/>
    <w:rsid w:val="423A5F76"/>
    <w:rsid w:val="424B3CDF"/>
    <w:rsid w:val="425F7D32"/>
    <w:rsid w:val="42793851"/>
    <w:rsid w:val="43655275"/>
    <w:rsid w:val="44112D07"/>
    <w:rsid w:val="456D21BF"/>
    <w:rsid w:val="46284338"/>
    <w:rsid w:val="46A2058E"/>
    <w:rsid w:val="46A2233C"/>
    <w:rsid w:val="46EB3CE3"/>
    <w:rsid w:val="47503B46"/>
    <w:rsid w:val="475C073D"/>
    <w:rsid w:val="4792415F"/>
    <w:rsid w:val="48C20A74"/>
    <w:rsid w:val="48D6451F"/>
    <w:rsid w:val="493556E9"/>
    <w:rsid w:val="49650744"/>
    <w:rsid w:val="49774ED9"/>
    <w:rsid w:val="4A244DA6"/>
    <w:rsid w:val="4A58343D"/>
    <w:rsid w:val="4A613833"/>
    <w:rsid w:val="4A643DA4"/>
    <w:rsid w:val="4AAA1A9E"/>
    <w:rsid w:val="4AFA62A3"/>
    <w:rsid w:val="4B885FA4"/>
    <w:rsid w:val="4BE4043B"/>
    <w:rsid w:val="4CDA2830"/>
    <w:rsid w:val="4D6B3488"/>
    <w:rsid w:val="4D722A68"/>
    <w:rsid w:val="4D9C1893"/>
    <w:rsid w:val="4DA92202"/>
    <w:rsid w:val="4E404914"/>
    <w:rsid w:val="4E61488B"/>
    <w:rsid w:val="4E6A373F"/>
    <w:rsid w:val="4E712D20"/>
    <w:rsid w:val="4F1C4D40"/>
    <w:rsid w:val="4F730D1A"/>
    <w:rsid w:val="4F98252E"/>
    <w:rsid w:val="4FB337A8"/>
    <w:rsid w:val="50302767"/>
    <w:rsid w:val="504A74D2"/>
    <w:rsid w:val="50DC644B"/>
    <w:rsid w:val="517F39A6"/>
    <w:rsid w:val="51B82A14"/>
    <w:rsid w:val="52596FDD"/>
    <w:rsid w:val="538F0238"/>
    <w:rsid w:val="53DF421F"/>
    <w:rsid w:val="54D73AF9"/>
    <w:rsid w:val="54DA0EF3"/>
    <w:rsid w:val="553E1482"/>
    <w:rsid w:val="558C5AE7"/>
    <w:rsid w:val="559D62E5"/>
    <w:rsid w:val="565F24C7"/>
    <w:rsid w:val="56FE536D"/>
    <w:rsid w:val="57566F57"/>
    <w:rsid w:val="57630912"/>
    <w:rsid w:val="57F14ED1"/>
    <w:rsid w:val="57FD5624"/>
    <w:rsid w:val="58226E39"/>
    <w:rsid w:val="58647451"/>
    <w:rsid w:val="588673C8"/>
    <w:rsid w:val="59545718"/>
    <w:rsid w:val="59AF294E"/>
    <w:rsid w:val="5A76346C"/>
    <w:rsid w:val="5ABC4CBC"/>
    <w:rsid w:val="5BBA4FFC"/>
    <w:rsid w:val="5BD42B40"/>
    <w:rsid w:val="5C4750C0"/>
    <w:rsid w:val="5C553C81"/>
    <w:rsid w:val="5C677510"/>
    <w:rsid w:val="5D1217CA"/>
    <w:rsid w:val="5D8B5480"/>
    <w:rsid w:val="5E6C52B2"/>
    <w:rsid w:val="5E8C5954"/>
    <w:rsid w:val="5E8F0648"/>
    <w:rsid w:val="5EB86749"/>
    <w:rsid w:val="5FDA449D"/>
    <w:rsid w:val="5FFC08B7"/>
    <w:rsid w:val="603C321A"/>
    <w:rsid w:val="60634492"/>
    <w:rsid w:val="60A30D33"/>
    <w:rsid w:val="60E47381"/>
    <w:rsid w:val="61AD1E69"/>
    <w:rsid w:val="622163B3"/>
    <w:rsid w:val="62513F02"/>
    <w:rsid w:val="62685D90"/>
    <w:rsid w:val="62B17D06"/>
    <w:rsid w:val="62CE79E1"/>
    <w:rsid w:val="63310878"/>
    <w:rsid w:val="636E5628"/>
    <w:rsid w:val="63F975E8"/>
    <w:rsid w:val="644A1BF1"/>
    <w:rsid w:val="64F9452C"/>
    <w:rsid w:val="65896749"/>
    <w:rsid w:val="670D69F8"/>
    <w:rsid w:val="67472418"/>
    <w:rsid w:val="676171AC"/>
    <w:rsid w:val="67DD4B2A"/>
    <w:rsid w:val="68DE6DAC"/>
    <w:rsid w:val="69230C63"/>
    <w:rsid w:val="6974326C"/>
    <w:rsid w:val="69B33D95"/>
    <w:rsid w:val="69C77840"/>
    <w:rsid w:val="69E06B54"/>
    <w:rsid w:val="69F04FE9"/>
    <w:rsid w:val="6B69067C"/>
    <w:rsid w:val="6C430873"/>
    <w:rsid w:val="6CC05DE7"/>
    <w:rsid w:val="6DF606F4"/>
    <w:rsid w:val="6E46167B"/>
    <w:rsid w:val="6E5C0E9F"/>
    <w:rsid w:val="6EF03395"/>
    <w:rsid w:val="6F9B1553"/>
    <w:rsid w:val="703B0F88"/>
    <w:rsid w:val="709B5583"/>
    <w:rsid w:val="711C44E0"/>
    <w:rsid w:val="7186207E"/>
    <w:rsid w:val="71A5490B"/>
    <w:rsid w:val="71BC3A02"/>
    <w:rsid w:val="723F6B0D"/>
    <w:rsid w:val="725B76BF"/>
    <w:rsid w:val="728269FA"/>
    <w:rsid w:val="72D51220"/>
    <w:rsid w:val="72D91538"/>
    <w:rsid w:val="72EE408F"/>
    <w:rsid w:val="72FB055A"/>
    <w:rsid w:val="73506AF8"/>
    <w:rsid w:val="735637C7"/>
    <w:rsid w:val="73D72D76"/>
    <w:rsid w:val="74C4154C"/>
    <w:rsid w:val="75B82733"/>
    <w:rsid w:val="76124201"/>
    <w:rsid w:val="76885262"/>
    <w:rsid w:val="77050178"/>
    <w:rsid w:val="771F0CBB"/>
    <w:rsid w:val="7758241F"/>
    <w:rsid w:val="77EE068E"/>
    <w:rsid w:val="783863BB"/>
    <w:rsid w:val="78590179"/>
    <w:rsid w:val="787768D5"/>
    <w:rsid w:val="79134850"/>
    <w:rsid w:val="79C8563A"/>
    <w:rsid w:val="7A684727"/>
    <w:rsid w:val="7AFB559C"/>
    <w:rsid w:val="7B6C0247"/>
    <w:rsid w:val="7B784E3E"/>
    <w:rsid w:val="7B8A691F"/>
    <w:rsid w:val="7BE40725"/>
    <w:rsid w:val="7BF344C5"/>
    <w:rsid w:val="7C013085"/>
    <w:rsid w:val="7CD24A22"/>
    <w:rsid w:val="7CEF7382"/>
    <w:rsid w:val="7D052701"/>
    <w:rsid w:val="7E3239CA"/>
    <w:rsid w:val="7E9A5FFD"/>
    <w:rsid w:val="7EDE145C"/>
    <w:rsid w:val="7EF7251E"/>
    <w:rsid w:val="7F054C3B"/>
    <w:rsid w:val="7FAC155A"/>
    <w:rsid w:val="7FBD72C3"/>
    <w:rsid w:val="7FE17456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_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2787</Words>
  <Characters>3130</Characters>
  <Lines>0</Lines>
  <Paragraphs>0</Paragraphs>
  <TotalTime>31</TotalTime>
  <ScaleCrop>false</ScaleCrop>
  <LinksUpToDate>false</LinksUpToDate>
  <CharactersWithSpaces>3164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2025-12-03T01:37:00Z</dcterms:created>
  <dc:creator>Administrator</dc:creator>
  <cp:lastModifiedBy>小翻</cp:lastModifiedBy>
  <dcterms:modified xsi:type="dcterms:W3CDTF">2025-12-15T03:41:24Z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eyJoZGlkIjoiNTlhZmNmMTU4MTMyMWEwNjM2NGQzZGE4ZjFiY2JiY2MiLCJ1c2VySWQiOiI3MjQ2MjA4MDQifQ==</vt:lpwstr>
  </property>
  <property fmtid="{D5CDD505-2E9C-101B-9397-08002B2CF9AE}" pid="4" name="ICV">
    <vt:lpwstr>AB03FFFDBC784D4E91ACC8A6E663F4DB_13</vt:lpwstr>
  </property>
</Properties>
</file>