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BCAA">
      <w:pPr>
        <w:spacing w:line="6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铜仁职业技术大学</w:t>
      </w:r>
      <w:r>
        <w:rPr>
          <w:rFonts w:hint="eastAsia" w:ascii="方正小标宋简体" w:hAnsi="方正小标宋简体" w:eastAsia="方正小标宋简体" w:cs="方正小标宋简体"/>
          <w:color w:val="auto"/>
          <w:sz w:val="44"/>
          <w:szCs w:val="44"/>
          <w:lang w:eastAsia="zh-CN"/>
        </w:rPr>
        <w:t>招生就业部</w:t>
      </w:r>
      <w:r>
        <w:rPr>
          <w:rFonts w:hint="eastAsia" w:ascii="方正小标宋简体" w:hAnsi="方正小标宋简体" w:eastAsia="方正小标宋简体" w:cs="方正小标宋简体"/>
          <w:sz w:val="44"/>
          <w:szCs w:val="44"/>
        </w:rPr>
        <w:t>低空飞行技术师资培训</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color w:val="auto"/>
          <w:sz w:val="44"/>
          <w:szCs w:val="44"/>
          <w:lang w:val="en-US" w:eastAsia="zh-CN"/>
        </w:rPr>
        <w:t>采</w:t>
      </w:r>
      <w:r>
        <w:rPr>
          <w:rFonts w:hint="eastAsia" w:ascii="方正小标宋简体" w:hAnsi="方正小标宋简体" w:eastAsia="方正小标宋简体" w:cs="方正小标宋简体"/>
          <w:color w:val="auto"/>
          <w:sz w:val="44"/>
          <w:szCs w:val="44"/>
        </w:rPr>
        <w:t>购项目招标方案</w:t>
      </w:r>
    </w:p>
    <w:p w14:paraId="63FEA73D">
      <w:pPr>
        <w:spacing w:line="560" w:lineRule="exact"/>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一、基本情况</w:t>
      </w:r>
    </w:p>
    <w:p w14:paraId="5ADD5B53">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rPr>
        <w:t>项目名称：</w:t>
      </w:r>
      <w:r>
        <w:rPr>
          <w:rFonts w:hint="eastAsia" w:ascii="仿宋_GB2312" w:eastAsia="仿宋_GB2312" w:cs="仿宋_GB2312"/>
          <w:color w:val="auto"/>
          <w:sz w:val="32"/>
          <w:szCs w:val="32"/>
          <w:lang w:val="en-US" w:eastAsia="zh-CN"/>
        </w:rPr>
        <w:t>铜仁职业技术大学招生就业部低空飞行技术师资培训服务采购</w:t>
      </w:r>
    </w:p>
    <w:p w14:paraId="54C901D9">
      <w:pPr>
        <w:spacing w:line="560" w:lineRule="exact"/>
        <w:ind w:firstLine="640" w:firstLineChars="200"/>
        <w:rPr>
          <w:rFonts w:hint="default" w:ascii="仿宋_GB2312" w:eastAsia="仿宋_GB2312" w:cs="仿宋_GB2312"/>
          <w:color w:val="auto"/>
          <w:sz w:val="32"/>
          <w:szCs w:val="32"/>
          <w:lang w:val="en-US"/>
        </w:rPr>
      </w:pPr>
      <w:r>
        <w:rPr>
          <w:rFonts w:hint="eastAsia" w:ascii="仿宋_GB2312" w:eastAsia="仿宋_GB2312" w:cs="仿宋_GB2312"/>
          <w:color w:val="auto"/>
          <w:sz w:val="32"/>
          <w:szCs w:val="32"/>
        </w:rPr>
        <w:t>项目地点：铜仁职业技术大学</w:t>
      </w:r>
      <w:r>
        <w:rPr>
          <w:rFonts w:hint="eastAsia" w:ascii="仿宋_GB2312" w:eastAsia="仿宋_GB2312" w:cs="仿宋_GB2312"/>
          <w:color w:val="auto"/>
          <w:sz w:val="32"/>
          <w:szCs w:val="32"/>
          <w:lang w:eastAsia="zh-CN"/>
        </w:rPr>
        <w:t>主</w:t>
      </w:r>
      <w:r>
        <w:rPr>
          <w:rFonts w:hint="eastAsia" w:ascii="仿宋_GB2312" w:eastAsia="仿宋_GB2312" w:cs="仿宋_GB2312"/>
          <w:color w:val="auto"/>
          <w:sz w:val="32"/>
          <w:szCs w:val="32"/>
          <w:lang w:val="en-US" w:eastAsia="zh-CN"/>
        </w:rPr>
        <w:t>校区</w:t>
      </w:r>
    </w:p>
    <w:p w14:paraId="3E58D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项目概况：</w:t>
      </w:r>
      <w:r>
        <w:rPr>
          <w:rFonts w:hint="eastAsia" w:ascii="仿宋_GB2312" w:hAnsi="仿宋_GB2312" w:eastAsia="仿宋_GB2312" w:cs="仿宋_GB2312"/>
          <w:sz w:val="32"/>
          <w:szCs w:val="32"/>
        </w:rPr>
        <w:t>系统掌握低空飞行（重点为无人机）核心理论知识，确保</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熟练掌握多旋翼无人机的操作技能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参</w:t>
      </w:r>
      <w:r>
        <w:rPr>
          <w:rFonts w:hint="eastAsia" w:ascii="仿宋_GB2312" w:hAnsi="仿宋_GB2312" w:eastAsia="仿宋_GB2312" w:cs="仿宋_GB2312"/>
          <w:b w:val="0"/>
          <w:bCs w:val="0"/>
          <w:color w:val="auto"/>
          <w:sz w:val="32"/>
          <w:szCs w:val="32"/>
          <w:lang w:val="en-US" w:eastAsia="zh-CN"/>
        </w:rPr>
        <w:t>加</w:t>
      </w:r>
      <w:r>
        <w:rPr>
          <w:rFonts w:hint="eastAsia" w:ascii="仿宋_GB2312" w:hAnsi="仿宋_GB2312" w:eastAsia="仿宋_GB2312" w:cs="仿宋_GB2312"/>
          <w:b w:val="0"/>
          <w:bCs w:val="0"/>
          <w:color w:val="auto"/>
          <w:sz w:val="32"/>
          <w:szCs w:val="32"/>
        </w:rPr>
        <w:t>中国民用航空局（CAAC）无人机驾驶员执照（视距内/超视距）考试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获取行业认可的执业资质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同时申报我校</w:t>
      </w:r>
      <w:r>
        <w:rPr>
          <w:rFonts w:hint="eastAsia" w:ascii="仿宋_GB2312" w:hAnsi="仿宋_GB2312" w:eastAsia="仿宋_GB2312" w:cs="仿宋_GB2312"/>
          <w:sz w:val="32"/>
          <w:szCs w:val="32"/>
        </w:rPr>
        <w:t>低空飞行技术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微专业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更高质量推动学生就业</w:t>
      </w:r>
      <w:r>
        <w:rPr>
          <w:rFonts w:hint="eastAsia" w:ascii="仿宋_GB2312" w:hAnsi="仿宋_GB2312" w:eastAsia="仿宋_GB2312" w:cs="仿宋_GB2312"/>
          <w:sz w:val="32"/>
          <w:szCs w:val="32"/>
        </w:rPr>
        <w:t>。</w:t>
      </w:r>
    </w:p>
    <w:p w14:paraId="7120F93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供货时间：合同签订后</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日内</w:t>
      </w:r>
      <w:r>
        <w:rPr>
          <w:rFonts w:hint="eastAsia" w:ascii="仿宋_GB2312" w:eastAsia="仿宋_GB2312" w:cs="仿宋_GB2312"/>
          <w:sz w:val="32"/>
          <w:szCs w:val="32"/>
          <w:lang w:eastAsia="zh-CN"/>
        </w:rPr>
        <w:t>提供服务</w:t>
      </w:r>
      <w:r>
        <w:rPr>
          <w:rFonts w:hint="eastAsia" w:ascii="仿宋_GB2312" w:eastAsia="仿宋_GB2312" w:cs="仿宋_GB2312"/>
          <w:sz w:val="32"/>
          <w:szCs w:val="32"/>
        </w:rPr>
        <w:t>。</w:t>
      </w:r>
    </w:p>
    <w:p w14:paraId="1906BA1C">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二、投标人资格审核内容</w:t>
      </w:r>
    </w:p>
    <w:p w14:paraId="321E7DF1">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（一）基本资格要求：</w:t>
      </w:r>
    </w:p>
    <w:p w14:paraId="56D2621D">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（1）独立法人资格</w:t>
      </w:r>
    </w:p>
    <w:p w14:paraId="600ACB06">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具有独立民事责任承担能力，具备合法经营资格。须提供有效营业执照等证明文件。</w:t>
      </w:r>
    </w:p>
    <w:p w14:paraId="191B92E1">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（2）专业技术能力</w:t>
      </w:r>
    </w:p>
    <w:p w14:paraId="51DE723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具备履行合同所需的设备、人员及专业技术能力</w:t>
      </w:r>
      <w:r>
        <w:rPr>
          <w:rFonts w:hint="eastAsia" w:ascii="仿宋_GB2312" w:eastAsia="仿宋_GB2312" w:cs="仿宋_GB2312"/>
          <w:sz w:val="32"/>
          <w:szCs w:val="32"/>
          <w:lang w:eastAsia="zh-CN"/>
        </w:rPr>
        <w:t>。</w:t>
      </w:r>
      <w:r>
        <w:rPr>
          <w:rFonts w:hint="eastAsia" w:ascii="仿宋_GB2312" w:eastAsia="仿宋_GB2312" w:cs="仿宋_GB2312"/>
          <w:sz w:val="32"/>
          <w:szCs w:val="32"/>
        </w:rPr>
        <w:t>需提供承诺函原件（格式自定）。</w:t>
      </w:r>
    </w:p>
    <w:p w14:paraId="5DD095D3">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（3）无违法记录</w:t>
      </w:r>
    </w:p>
    <w:p w14:paraId="2610A46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提供过去3年在政府采购活动中无重大违法记录的书面声明原件（格式自定）。</w:t>
      </w:r>
    </w:p>
    <w:p w14:paraId="6780F59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（4）信用查询</w:t>
      </w:r>
    </w:p>
    <w:p w14:paraId="0F790E11">
      <w:pPr>
        <w:keepNext w:val="0"/>
        <w:keepLines w:val="0"/>
        <w:pageBreakBefore w:val="0"/>
        <w:widowControl w:val="0"/>
        <w:spacing w:line="560" w:lineRule="exact"/>
        <w:ind w:firstLine="64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供应商未被列入“信用中国”网站中记录“失信被执行人、重大税收违法案件当事人名单、政府采购严重违法失信行为记录名单”的记录名单；不处于中国政府采购网中“政府采购严重违法失信行为信息记录”的禁止参加政府采购活动期间。如在记录内应当拒绝其参与政府采购活动，如查询结果显示“没查到您要的信息”，视为没有上述不良信用记录。</w:t>
      </w:r>
    </w:p>
    <w:p w14:paraId="63299FAB">
      <w:pPr>
        <w:keepNext w:val="0"/>
        <w:keepLines w:val="0"/>
        <w:pageBreakBefore w:val="0"/>
        <w:widowControl w:val="0"/>
        <w:spacing w:line="560" w:lineRule="exact"/>
        <w:ind w:firstLine="640"/>
        <w:jc w:val="both"/>
        <w:rPr>
          <w:rFonts w:asci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bidi="ar-SA"/>
        </w:rPr>
        <w:t>查询截止时间：竞价时间至开标时间期间；信用信息查询记录和证据留存方式：投标人提供查询记录截图（两个网站均需要查询且上传）。</w:t>
      </w:r>
    </w:p>
    <w:p w14:paraId="58CA68AA">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（5）法定代表人或委托代理人</w:t>
      </w:r>
    </w:p>
    <w:p w14:paraId="681E247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法人参与的需提供法人身份证复印件；代理人参与需提供法人授权委托书、法人及代理人身份证复印件。</w:t>
      </w:r>
    </w:p>
    <w:p w14:paraId="6768BEF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（6）联合体报价</w:t>
      </w:r>
    </w:p>
    <w:p w14:paraId="3873FC1A">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本项目不接受联合体投标。</w:t>
      </w:r>
    </w:p>
    <w:p w14:paraId="549B4584">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三、项目最高限价及支付方式</w:t>
      </w:r>
    </w:p>
    <w:p w14:paraId="63C6AB26">
      <w:pPr>
        <w:spacing w:line="560" w:lineRule="exact"/>
        <w:ind w:firstLine="640" w:firstLineChars="200"/>
        <w:rPr>
          <w:rFonts w:ascii="仿宋_GB2312" w:eastAsia="仿宋_GB2312" w:cs="仿宋_GB2312"/>
          <w:b w:val="0"/>
          <w:bCs w:val="0"/>
          <w:color w:val="auto"/>
          <w:sz w:val="32"/>
          <w:szCs w:val="32"/>
        </w:rPr>
      </w:pPr>
      <w:r>
        <w:rPr>
          <w:rFonts w:hint="eastAsia" w:ascii="仿宋_GB2312" w:eastAsia="仿宋_GB2312" w:cs="仿宋_GB2312"/>
          <w:color w:val="auto"/>
          <w:sz w:val="32"/>
          <w:szCs w:val="32"/>
        </w:rPr>
        <w:t>本项目最高投</w:t>
      </w:r>
      <w:r>
        <w:rPr>
          <w:rFonts w:hint="eastAsia" w:ascii="仿宋_GB2312" w:eastAsia="仿宋_GB2312" w:cs="仿宋_GB2312"/>
          <w:b w:val="0"/>
          <w:bCs w:val="0"/>
          <w:color w:val="auto"/>
          <w:sz w:val="32"/>
          <w:szCs w:val="32"/>
        </w:rPr>
        <w:t>标限价为¥</w:t>
      </w:r>
      <w:r>
        <w:rPr>
          <w:rFonts w:hint="eastAsia" w:ascii="仿宋_GB2312" w:eastAsia="仿宋_GB2312" w:cs="仿宋_GB2312"/>
          <w:b w:val="0"/>
          <w:bCs w:val="0"/>
          <w:color w:val="auto"/>
          <w:sz w:val="32"/>
          <w:szCs w:val="32"/>
          <w:lang w:val="en-US" w:eastAsia="zh-CN"/>
        </w:rPr>
        <w:t>138600</w:t>
      </w:r>
      <w:r>
        <w:rPr>
          <w:rFonts w:hint="eastAsia" w:ascii="仿宋_GB2312" w:eastAsia="仿宋_GB2312" w:cs="仿宋_GB2312"/>
          <w:b w:val="0"/>
          <w:bCs w:val="0"/>
          <w:color w:val="auto"/>
          <w:sz w:val="32"/>
          <w:szCs w:val="32"/>
        </w:rPr>
        <w:t>元（含税包干价），超限价投标无效。</w:t>
      </w:r>
    </w:p>
    <w:p w14:paraId="57A0B49C">
      <w:pPr>
        <w:spacing w:line="56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支付方式：</w:t>
      </w:r>
      <w:r>
        <w:rPr>
          <w:rFonts w:hint="eastAsia" w:ascii="仿宋_GB2312" w:eastAsia="仿宋_GB2312" w:cs="仿宋_GB2312"/>
          <w:color w:val="auto"/>
          <w:sz w:val="32"/>
          <w:szCs w:val="32"/>
          <w:lang w:val="en-US" w:eastAsia="zh-CN"/>
        </w:rPr>
        <w:t>培训结束后,经</w:t>
      </w:r>
      <w:r>
        <w:rPr>
          <w:rFonts w:hint="eastAsia" w:ascii="仿宋_GB2312" w:eastAsia="仿宋_GB2312" w:cs="仿宋_GB2312"/>
          <w:color w:val="auto"/>
          <w:sz w:val="32"/>
          <w:szCs w:val="32"/>
        </w:rPr>
        <w:t>验收合格一次性支付货款。</w:t>
      </w:r>
    </w:p>
    <w:p w14:paraId="4B3D9C6A">
      <w:pPr>
        <w:spacing w:line="560" w:lineRule="exact"/>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四、商务要求</w:t>
      </w:r>
    </w:p>
    <w:p w14:paraId="15A65CE3">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rPr>
        <w:t>1.</w:t>
      </w:r>
      <w:r>
        <w:rPr>
          <w:rFonts w:hint="eastAsia" w:ascii="仿宋_GB2312" w:eastAsia="仿宋_GB2312" w:cs="仿宋_GB2312"/>
          <w:color w:val="auto"/>
          <w:sz w:val="32"/>
          <w:szCs w:val="32"/>
          <w:highlight w:val="none"/>
        </w:rPr>
        <w:t>投标人须承诺提供</w:t>
      </w:r>
      <w:r>
        <w:rPr>
          <w:rFonts w:hint="eastAsia" w:ascii="仿宋_GB2312" w:eastAsia="仿宋_GB2312" w:cs="仿宋_GB2312"/>
          <w:color w:val="auto"/>
          <w:sz w:val="32"/>
          <w:szCs w:val="32"/>
          <w:highlight w:val="none"/>
          <w:lang w:val="en-US" w:eastAsia="zh-CN"/>
        </w:rPr>
        <w:t>完整的</w:t>
      </w:r>
      <w:r>
        <w:rPr>
          <w:rFonts w:hint="eastAsia" w:ascii="仿宋_GB2312" w:eastAsia="仿宋_GB2312" w:cs="仿宋_GB2312"/>
          <w:color w:val="auto"/>
          <w:sz w:val="32"/>
          <w:szCs w:val="32"/>
          <w:lang w:val="en-US" w:eastAsia="zh-CN"/>
        </w:rPr>
        <w:t>培训服务，以及培训所需的</w:t>
      </w:r>
      <w:r>
        <w:rPr>
          <w:rFonts w:hint="eastAsia" w:ascii="仿宋_GB2312" w:eastAsia="仿宋_GB2312" w:cs="仿宋_GB2312"/>
          <w:color w:val="auto"/>
          <w:sz w:val="32"/>
          <w:szCs w:val="32"/>
          <w:highlight w:val="none"/>
        </w:rPr>
        <w:t>所有设备及软件，并出具产品质量承诺函。</w:t>
      </w:r>
    </w:p>
    <w:p w14:paraId="3BAC92B9">
      <w:pPr>
        <w:spacing w:line="560" w:lineRule="exact"/>
        <w:ind w:firstLine="640" w:firstLineChars="200"/>
        <w:rPr>
          <w:rFonts w:hint="eastAsia" w:ascii="仿宋_GB2312" w:eastAsia="仿宋_GB2312" w:cs="仿宋_GB2312"/>
          <w:b w:val="0"/>
          <w:bCs w:val="0"/>
          <w:color w:val="auto"/>
          <w:sz w:val="32"/>
          <w:szCs w:val="32"/>
        </w:rPr>
      </w:pPr>
      <w:r>
        <w:rPr>
          <w:rFonts w:hint="eastAsia" w:ascii="仿宋_GB2312" w:eastAsia="仿宋_GB2312" w:cs="仿宋_GB2312"/>
          <w:color w:val="auto"/>
          <w:sz w:val="32"/>
          <w:szCs w:val="32"/>
        </w:rPr>
        <w:t>2.</w:t>
      </w:r>
      <w:r>
        <w:rPr>
          <w:rFonts w:hint="eastAsia" w:ascii="仿宋_GB2312" w:eastAsia="仿宋_GB2312" w:cs="仿宋_GB2312"/>
          <w:color w:val="auto"/>
          <w:sz w:val="32"/>
          <w:szCs w:val="32"/>
          <w:lang w:val="en-US" w:eastAsia="zh-CN"/>
        </w:rPr>
        <w:t>培训</w:t>
      </w:r>
      <w:r>
        <w:rPr>
          <w:rFonts w:hint="eastAsia" w:ascii="仿宋_GB2312" w:eastAsia="仿宋_GB2312" w:cs="仿宋_GB2312"/>
          <w:color w:val="auto"/>
          <w:sz w:val="32"/>
          <w:szCs w:val="32"/>
        </w:rPr>
        <w:t>周期：</w:t>
      </w:r>
      <w:r>
        <w:rPr>
          <w:rFonts w:hint="eastAsia" w:ascii="仿宋_GB2312" w:eastAsia="仿宋_GB2312" w:cs="仿宋_GB2312"/>
          <w:color w:val="auto"/>
          <w:sz w:val="32"/>
          <w:szCs w:val="32"/>
          <w:lang w:val="en-US" w:eastAsia="zh-CN"/>
        </w:rPr>
        <w:t>合同签订后</w:t>
      </w:r>
      <w:r>
        <w:rPr>
          <w:rFonts w:hint="eastAsia" w:ascii="仿宋_GB2312" w:eastAsia="仿宋_GB2312" w:cs="仿宋_GB2312"/>
          <w:b w:val="0"/>
          <w:bCs w:val="0"/>
          <w:color w:val="auto"/>
          <w:sz w:val="32"/>
          <w:szCs w:val="32"/>
          <w:lang w:val="en-US" w:eastAsia="zh-CN"/>
        </w:rPr>
        <w:t>，30</w:t>
      </w:r>
      <w:r>
        <w:rPr>
          <w:rFonts w:hint="eastAsia" w:ascii="仿宋_GB2312" w:eastAsia="仿宋_GB2312" w:cs="仿宋_GB2312"/>
          <w:b w:val="0"/>
          <w:bCs w:val="0"/>
          <w:color w:val="auto"/>
          <w:sz w:val="32"/>
          <w:szCs w:val="32"/>
        </w:rPr>
        <w:t>日以内完成</w:t>
      </w:r>
      <w:r>
        <w:rPr>
          <w:rFonts w:hint="eastAsia" w:ascii="仿宋_GB2312" w:eastAsia="仿宋_GB2312" w:cs="仿宋_GB2312"/>
          <w:b w:val="0"/>
          <w:bCs w:val="0"/>
          <w:color w:val="auto"/>
          <w:sz w:val="32"/>
          <w:szCs w:val="32"/>
          <w:lang w:val="en-US" w:eastAsia="zh-CN"/>
        </w:rPr>
        <w:t>理论培训,4个月内完成所有培训内容</w:t>
      </w:r>
      <w:r>
        <w:rPr>
          <w:rFonts w:hint="eastAsia" w:ascii="仿宋_GB2312" w:eastAsia="仿宋_GB2312" w:cs="仿宋_GB2312"/>
          <w:b w:val="0"/>
          <w:bCs w:val="0"/>
          <w:color w:val="auto"/>
          <w:sz w:val="32"/>
          <w:szCs w:val="32"/>
        </w:rPr>
        <w:t>。</w:t>
      </w:r>
    </w:p>
    <w:p w14:paraId="224D312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投标人须承诺配合采购方完成</w:t>
      </w:r>
      <w:r>
        <w:rPr>
          <w:rFonts w:hint="eastAsia" w:ascii="仿宋_GB2312" w:eastAsia="仿宋_GB2312" w:cs="仿宋_GB2312"/>
          <w:color w:val="auto"/>
          <w:sz w:val="32"/>
          <w:szCs w:val="32"/>
          <w:lang w:eastAsia="zh-CN"/>
        </w:rPr>
        <w:t>培训</w:t>
      </w:r>
      <w:r>
        <w:rPr>
          <w:rFonts w:hint="eastAsia" w:ascii="仿宋_GB2312" w:eastAsia="仿宋_GB2312" w:cs="仿宋_GB2312"/>
          <w:color w:val="auto"/>
          <w:sz w:val="32"/>
          <w:szCs w:val="32"/>
        </w:rPr>
        <w:t>工作，包括提供完整的培训资料及</w:t>
      </w:r>
      <w:r>
        <w:rPr>
          <w:rFonts w:hint="eastAsia" w:ascii="仿宋_GB2312" w:eastAsia="仿宋_GB2312" w:cs="仿宋_GB2312"/>
          <w:color w:val="auto"/>
          <w:sz w:val="32"/>
          <w:szCs w:val="32"/>
          <w:lang w:eastAsia="zh-CN"/>
        </w:rPr>
        <w:t>考证所需要的物资和服务</w:t>
      </w:r>
      <w:r>
        <w:rPr>
          <w:rFonts w:hint="eastAsia" w:ascii="仿宋_GB2312" w:eastAsia="仿宋_GB2312" w:cs="仿宋_GB2312"/>
          <w:color w:val="auto"/>
          <w:sz w:val="32"/>
          <w:szCs w:val="32"/>
        </w:rPr>
        <w:t>。</w:t>
      </w:r>
    </w:p>
    <w:p w14:paraId="1F75E50B">
      <w:pPr>
        <w:pStyle w:val="5"/>
        <w:ind w:firstLine="64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4.培训期间，在铜仁市两城区，学员的食、宿交通费用自理。</w:t>
      </w:r>
    </w:p>
    <w:p w14:paraId="1E2A178F">
      <w:pPr>
        <w:pStyle w:val="5"/>
        <w:ind w:firstLine="64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5.培训在铜仁市两城区以外，产生的一切费用（如食、宿、交通、训练、场地、考试等）由培训机构承担。</w:t>
      </w:r>
    </w:p>
    <w:p w14:paraId="07AE0B12">
      <w:pPr>
        <w:pStyle w:val="5"/>
        <w:ind w:firstLine="64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6.培训期间，学员的保险费（人身保险）由培训机构承担。</w:t>
      </w:r>
    </w:p>
    <w:p w14:paraId="2A4623CB">
      <w:pPr>
        <w:spacing w:line="560" w:lineRule="exact"/>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五、采购方式、中标原则</w:t>
      </w:r>
    </w:p>
    <w:p w14:paraId="6748DC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560" w:lineRule="exact"/>
        <w:ind w:left="0" w:right="0" w:firstLine="607"/>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采购方式：</w:t>
      </w:r>
      <w:r>
        <w:rPr>
          <w:rFonts w:hint="eastAsia" w:ascii="仿宋_GB2312" w:hAnsi="Calibri" w:eastAsia="仿宋_GB2312" w:cs="仿宋_GB2312"/>
          <w:i w:val="0"/>
          <w:iCs w:val="0"/>
          <w:caps w:val="0"/>
          <w:color w:val="auto"/>
          <w:spacing w:val="0"/>
          <w:sz w:val="32"/>
          <w:szCs w:val="32"/>
          <w:shd w:val="clear" w:fill="FFFFFF"/>
        </w:rPr>
        <w:t>本项目采取</w:t>
      </w:r>
      <w:r>
        <w:rPr>
          <w:rFonts w:hint="eastAsia" w:ascii="仿宋_GB2312" w:eastAsia="仿宋_GB2312" w:cs="仿宋_GB2312"/>
          <w:i w:val="0"/>
          <w:iCs w:val="0"/>
          <w:caps w:val="0"/>
          <w:color w:val="auto"/>
          <w:spacing w:val="0"/>
          <w:sz w:val="32"/>
          <w:szCs w:val="32"/>
          <w:shd w:val="clear" w:fill="FFFFFF"/>
          <w:lang w:eastAsia="zh-CN"/>
        </w:rPr>
        <w:t>综合评分</w:t>
      </w:r>
      <w:r>
        <w:rPr>
          <w:rFonts w:hint="eastAsia" w:ascii="仿宋_GB2312" w:eastAsia="仿宋_GB2312" w:cs="仿宋_GB2312"/>
          <w:i w:val="0"/>
          <w:iCs w:val="0"/>
          <w:caps w:val="0"/>
          <w:color w:val="auto"/>
          <w:spacing w:val="0"/>
          <w:sz w:val="32"/>
          <w:szCs w:val="32"/>
          <w:shd w:val="clear" w:fill="FFFFFF"/>
          <w:lang w:val="en-US" w:eastAsia="zh-CN"/>
        </w:rPr>
        <w:t>法招标</w:t>
      </w:r>
      <w:r>
        <w:rPr>
          <w:rFonts w:hint="eastAsia" w:ascii="仿宋_GB2312" w:hAnsi="Calibri" w:eastAsia="仿宋_GB2312" w:cs="仿宋_GB2312"/>
          <w:i w:val="0"/>
          <w:iCs w:val="0"/>
          <w:caps w:val="0"/>
          <w:color w:val="auto"/>
          <w:spacing w:val="0"/>
          <w:sz w:val="32"/>
          <w:szCs w:val="32"/>
          <w:shd w:val="clear" w:fill="FFFFFF"/>
          <w:lang w:val="en-US" w:eastAsia="zh-CN"/>
        </w:rPr>
        <w:t>。</w:t>
      </w:r>
      <w:r>
        <w:rPr>
          <w:rFonts w:hint="eastAsia" w:ascii="仿宋_GB2312" w:hAnsi="Calibri" w:eastAsia="仿宋_GB2312" w:cs="仿宋_GB2312"/>
          <w:i w:val="0"/>
          <w:iCs w:val="0"/>
          <w:caps w:val="0"/>
          <w:color w:val="auto"/>
          <w:spacing w:val="0"/>
          <w:sz w:val="32"/>
          <w:szCs w:val="32"/>
          <w:shd w:val="clear" w:fill="FFFFFF"/>
        </w:rPr>
        <w:t>在铜仁职业技术</w:t>
      </w:r>
      <w:r>
        <w:rPr>
          <w:rFonts w:hint="eastAsia" w:ascii="仿宋_GB2312" w:eastAsia="仿宋_GB2312" w:cs="仿宋_GB2312"/>
          <w:i w:val="0"/>
          <w:iCs w:val="0"/>
          <w:caps w:val="0"/>
          <w:color w:val="auto"/>
          <w:spacing w:val="0"/>
          <w:sz w:val="32"/>
          <w:szCs w:val="32"/>
          <w:shd w:val="clear" w:fill="FFFFFF"/>
          <w:lang w:val="en-US" w:eastAsia="zh-CN"/>
        </w:rPr>
        <w:t>大</w:t>
      </w:r>
      <w:r>
        <w:rPr>
          <w:rFonts w:hint="eastAsia" w:ascii="仿宋_GB2312" w:hAnsi="Calibri" w:eastAsia="仿宋_GB2312" w:cs="仿宋_GB2312"/>
          <w:i w:val="0"/>
          <w:iCs w:val="0"/>
          <w:caps w:val="0"/>
          <w:color w:val="auto"/>
          <w:spacing w:val="0"/>
          <w:sz w:val="32"/>
          <w:szCs w:val="32"/>
          <w:shd w:val="clear" w:fill="FFFFFF"/>
        </w:rPr>
        <w:t>学校园官网招标采购栏目公示，投标人现场报名，开标现场递交投标文件参与投标，有效投标须满足三家,不足三家作废标处理。</w:t>
      </w:r>
    </w:p>
    <w:p w14:paraId="2E068DBA">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中标原则：通过资格性及符合性审查且完全响应招标要求的投标人，</w:t>
      </w:r>
      <w:r>
        <w:rPr>
          <w:rFonts w:hint="eastAsia" w:ascii="仿宋_GB2312" w:eastAsia="仿宋_GB2312" w:cs="仿宋_GB2312"/>
          <w:color w:val="auto"/>
          <w:sz w:val="32"/>
          <w:szCs w:val="32"/>
          <w:lang w:val="en-US" w:eastAsia="zh-CN"/>
        </w:rPr>
        <w:t>综合评分最高者为</w:t>
      </w:r>
      <w:r>
        <w:rPr>
          <w:rFonts w:hint="eastAsia" w:ascii="仿宋_GB2312" w:eastAsia="仿宋_GB2312" w:cs="仿宋_GB2312"/>
          <w:color w:val="auto"/>
          <w:sz w:val="32"/>
          <w:szCs w:val="32"/>
        </w:rPr>
        <w:t>中标</w:t>
      </w:r>
      <w:r>
        <w:rPr>
          <w:rFonts w:hint="eastAsia" w:ascii="仿宋_GB2312" w:eastAsia="仿宋_GB2312" w:cs="仿宋_GB2312"/>
          <w:color w:val="auto"/>
          <w:sz w:val="32"/>
          <w:szCs w:val="32"/>
          <w:lang w:val="en-US" w:eastAsia="zh-CN"/>
        </w:rPr>
        <w:t>人</w:t>
      </w:r>
      <w:r>
        <w:rPr>
          <w:rFonts w:hint="eastAsia" w:ascii="仿宋_GB2312" w:eastAsia="仿宋_GB2312" w:cs="仿宋_GB2312"/>
          <w:color w:val="0000FF"/>
          <w:sz w:val="32"/>
          <w:szCs w:val="32"/>
        </w:rPr>
        <w:t>。</w:t>
      </w:r>
    </w:p>
    <w:p w14:paraId="352A19CA">
      <w:pPr>
        <w:spacing w:line="560" w:lineRule="exact"/>
        <w:ind w:firstLine="640" w:firstLineChars="200"/>
        <w:rPr>
          <w:rFonts w:hint="eastAsia" w:ascii="仿宋_GB2312" w:hAnsi="Calibri" w:eastAsia="仿宋_GB2312" w:cs="仿宋_GB2312"/>
          <w:color w:val="auto"/>
          <w:kern w:val="2"/>
          <w:sz w:val="32"/>
          <w:szCs w:val="32"/>
          <w:lang w:val="en-US" w:eastAsia="zh-CN" w:bidi="ar-SA"/>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标书</w:t>
      </w:r>
      <w:r>
        <w:rPr>
          <w:rFonts w:hint="eastAsia" w:ascii="仿宋_GB2312" w:eastAsia="仿宋_GB2312" w:cs="仿宋_GB2312"/>
          <w:color w:val="auto"/>
          <w:sz w:val="32"/>
          <w:szCs w:val="32"/>
          <w:lang w:val="en-US" w:eastAsia="zh-CN"/>
        </w:rPr>
        <w:t>制作</w:t>
      </w:r>
      <w:r>
        <w:rPr>
          <w:rFonts w:hint="eastAsia" w:ascii="仿宋_GB2312" w:eastAsia="仿宋_GB2312" w:cs="仿宋_GB2312"/>
          <w:color w:val="auto"/>
          <w:sz w:val="32"/>
          <w:szCs w:val="32"/>
        </w:rPr>
        <w:t>：</w:t>
      </w:r>
      <w:r>
        <w:rPr>
          <w:rFonts w:hint="eastAsia" w:ascii="仿宋_GB2312" w:hAnsi="Calibri" w:eastAsia="仿宋_GB2312" w:cs="仿宋_GB2312"/>
          <w:i w:val="0"/>
          <w:iCs w:val="0"/>
          <w:caps w:val="0"/>
          <w:color w:val="auto"/>
          <w:spacing w:val="0"/>
          <w:sz w:val="32"/>
          <w:szCs w:val="32"/>
          <w:shd w:val="clear" w:fill="FFFFFF"/>
        </w:rPr>
        <w:t>纸质文件壹份</w:t>
      </w:r>
      <w:r>
        <w:rPr>
          <w:rFonts w:hint="eastAsia" w:ascii="仿宋_GB2312" w:eastAsia="仿宋_GB2312" w:cs="仿宋_GB2312"/>
          <w:i w:val="0"/>
          <w:iCs w:val="0"/>
          <w:caps w:val="0"/>
          <w:color w:val="auto"/>
          <w:spacing w:val="0"/>
          <w:sz w:val="32"/>
          <w:szCs w:val="32"/>
          <w:shd w:val="clear" w:fill="FFFFFF"/>
          <w:lang w:eastAsia="zh-CN"/>
        </w:rPr>
        <w:t>，</w:t>
      </w:r>
      <w:r>
        <w:rPr>
          <w:rFonts w:hint="eastAsia" w:ascii="仿宋_GB2312" w:hAnsi="Calibri" w:eastAsia="仿宋_GB2312" w:cs="仿宋_GB2312"/>
          <w:i w:val="0"/>
          <w:iCs w:val="0"/>
          <w:caps w:val="0"/>
          <w:color w:val="auto"/>
          <w:spacing w:val="0"/>
          <w:sz w:val="32"/>
          <w:szCs w:val="32"/>
          <w:shd w:val="clear" w:fill="FFFFFF"/>
        </w:rPr>
        <w:t>须使用A4纸打印，胶装、编制目录、页码。竞标人应对投标文件进行密封，并标明项目名称、招标人名称、竞标人名称，注明“开标时间以前不得开封”等字样，加盖投标单位公章。投标文件按格式要求盖章、签字；投标文件须逐页加盖投标单位公章。</w:t>
      </w:r>
    </w:p>
    <w:p w14:paraId="5AAA96E6">
      <w:pPr>
        <w:spacing w:line="560" w:lineRule="exact"/>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六、现场投标需提供如下响应资料（要求：均须加盖投标单位公章，未提供或漏提供视为无效投标，并将移交主管部门投诉处理）</w:t>
      </w:r>
    </w:p>
    <w:p w14:paraId="5D6BEEDD">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1.分项报价单（以附件清单为报价单，需明确</w:t>
      </w:r>
      <w:r>
        <w:rPr>
          <w:rFonts w:hint="eastAsia" w:ascii="仿宋_GB2312" w:eastAsia="仿宋_GB2312" w:cs="仿宋_GB2312"/>
          <w:sz w:val="32"/>
          <w:szCs w:val="32"/>
          <w:lang w:val="en-US" w:eastAsia="zh-CN"/>
        </w:rPr>
        <w:t>主要培训内容、单位、</w:t>
      </w:r>
      <w:r>
        <w:rPr>
          <w:rFonts w:hint="eastAsia" w:ascii="仿宋_GB2312" w:eastAsia="仿宋_GB2312" w:cs="仿宋_GB2312"/>
          <w:sz w:val="32"/>
          <w:szCs w:val="32"/>
        </w:rPr>
        <w:t>单价、数量和总价</w:t>
      </w:r>
      <w:r>
        <w:rPr>
          <w:rFonts w:hint="eastAsia" w:ascii="仿宋_GB2312" w:eastAsia="仿宋_GB2312" w:cs="仿宋_GB2312"/>
          <w:sz w:val="32"/>
          <w:szCs w:val="32"/>
          <w:lang w:eastAsia="zh-CN"/>
        </w:rPr>
        <w:t>等</w:t>
      </w:r>
      <w:r>
        <w:rPr>
          <w:rFonts w:hint="eastAsia" w:ascii="仿宋_GB2312" w:eastAsia="仿宋_GB2312" w:cs="仿宋_GB2312"/>
          <w:sz w:val="32"/>
          <w:szCs w:val="32"/>
        </w:rPr>
        <w:t>）。</w:t>
      </w:r>
    </w:p>
    <w:p w14:paraId="10B7710D">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.按采购清单提供</w:t>
      </w:r>
      <w:r>
        <w:rPr>
          <w:rFonts w:hint="eastAsia" w:ascii="仿宋_GB2312" w:eastAsia="仿宋_GB2312" w:cs="仿宋_GB2312"/>
          <w:sz w:val="32"/>
          <w:szCs w:val="32"/>
          <w:lang w:val="en-US" w:eastAsia="zh-CN"/>
        </w:rPr>
        <w:t>服务</w:t>
      </w:r>
      <w:r>
        <w:rPr>
          <w:rFonts w:hint="eastAsia" w:ascii="仿宋_GB2312" w:eastAsia="仿宋_GB2312" w:cs="仿宋_GB2312"/>
          <w:sz w:val="32"/>
          <w:szCs w:val="32"/>
        </w:rPr>
        <w:t>。</w:t>
      </w:r>
    </w:p>
    <w:p w14:paraId="6878AE40">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.提供</w:t>
      </w:r>
      <w:r>
        <w:rPr>
          <w:rFonts w:hint="eastAsia" w:ascii="仿宋_GB2312" w:eastAsia="仿宋_GB2312" w:cs="仿宋_GB2312"/>
          <w:sz w:val="32"/>
          <w:szCs w:val="32"/>
          <w:lang w:val="en-US" w:eastAsia="zh-CN"/>
        </w:rPr>
        <w:t>服务</w:t>
      </w:r>
      <w:r>
        <w:rPr>
          <w:rFonts w:hint="eastAsia" w:ascii="仿宋_GB2312" w:eastAsia="仿宋_GB2312" w:cs="仿宋_GB2312"/>
          <w:sz w:val="32"/>
          <w:szCs w:val="32"/>
        </w:rPr>
        <w:t>质量承诺。</w:t>
      </w:r>
    </w:p>
    <w:p w14:paraId="78C1C5BB">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.投标单位提供7*24小时</w:t>
      </w:r>
      <w:r>
        <w:rPr>
          <w:rFonts w:hint="eastAsia" w:ascii="仿宋_GB2312" w:eastAsia="仿宋_GB2312" w:cs="仿宋_GB2312"/>
          <w:sz w:val="32"/>
          <w:szCs w:val="32"/>
          <w:lang w:val="en-US" w:eastAsia="zh-CN"/>
        </w:rPr>
        <w:t>技术服务</w:t>
      </w:r>
      <w:r>
        <w:rPr>
          <w:rFonts w:hint="eastAsia" w:ascii="仿宋_GB2312" w:eastAsia="仿宋_GB2312" w:cs="仿宋_GB2312"/>
          <w:sz w:val="32"/>
          <w:szCs w:val="32"/>
        </w:rPr>
        <w:t>响应，接到通知后</w:t>
      </w:r>
      <w:r>
        <w:rPr>
          <w:rFonts w:hint="eastAsia" w:ascii="仿宋_GB2312" w:eastAsia="仿宋_GB2312" w:cs="仿宋_GB2312"/>
          <w:sz w:val="32"/>
          <w:szCs w:val="32"/>
          <w:lang w:val="en-US" w:eastAsia="zh-CN"/>
        </w:rPr>
        <w:t>2小时</w:t>
      </w:r>
      <w:r>
        <w:rPr>
          <w:rFonts w:hint="eastAsia" w:ascii="仿宋_GB2312" w:eastAsia="仿宋_GB2312" w:cs="仿宋_GB2312"/>
          <w:sz w:val="32"/>
          <w:szCs w:val="32"/>
        </w:rPr>
        <w:t>内响应，</w:t>
      </w:r>
      <w:r>
        <w:rPr>
          <w:rFonts w:hint="eastAsia" w:ascii="仿宋_GB2312" w:eastAsia="仿宋_GB2312" w:cs="仿宋_GB2312"/>
          <w:sz w:val="32"/>
          <w:szCs w:val="32"/>
          <w:lang w:val="en-US" w:eastAsia="zh-CN"/>
        </w:rPr>
        <w:t>48小时</w:t>
      </w:r>
      <w:r>
        <w:rPr>
          <w:rFonts w:hint="eastAsia" w:ascii="仿宋_GB2312" w:eastAsia="仿宋_GB2312" w:cs="仿宋_GB2312"/>
          <w:sz w:val="32"/>
          <w:szCs w:val="32"/>
        </w:rPr>
        <w:t>内到达现场处理承诺函。</w:t>
      </w:r>
    </w:p>
    <w:p w14:paraId="3CCB9A22">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七、采购内容清单及参数要求</w:t>
      </w:r>
    </w:p>
    <w:p w14:paraId="473DF587">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详见附件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：项目采购清单。</w:t>
      </w:r>
    </w:p>
    <w:p w14:paraId="0D6379D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八、其他</w:t>
      </w:r>
    </w:p>
    <w:p w14:paraId="7A766CCD">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报名截止时间202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下午。</w:t>
      </w:r>
    </w:p>
    <w:p w14:paraId="30EB5DF6">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2.报名地点：铜仁职业技术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学行政楼后勤部</w:t>
      </w:r>
      <w:r>
        <w:rPr>
          <w:rFonts w:hint="eastAsia" w:ascii="仿宋_GB2312" w:eastAsia="仿宋_GB2312" w:cs="仿宋_GB2312"/>
          <w:color w:val="auto"/>
          <w:sz w:val="32"/>
          <w:szCs w:val="32"/>
          <w:lang w:val="en-US" w:eastAsia="zh-CN"/>
        </w:rPr>
        <w:t>副部长</w:t>
      </w:r>
      <w:r>
        <w:rPr>
          <w:rFonts w:hint="eastAsia" w:ascii="仿宋_GB2312" w:eastAsia="仿宋_GB2312" w:cs="仿宋_GB2312"/>
          <w:color w:val="auto"/>
          <w:sz w:val="32"/>
          <w:szCs w:val="32"/>
        </w:rPr>
        <w:t>办公，联系人：蔡老师（联系电话：18311804628）</w:t>
      </w:r>
    </w:p>
    <w:p w14:paraId="3252E6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3.报名方式：</w:t>
      </w:r>
      <w:r>
        <w:rPr>
          <w:rFonts w:hint="eastAsia" w:ascii="仿宋_GB2312" w:eastAsia="仿宋_GB2312" w:cs="仿宋_GB2312"/>
          <w:color w:val="auto"/>
          <w:sz w:val="32"/>
          <w:szCs w:val="32"/>
          <w:lang w:val="en-US" w:eastAsia="zh-CN"/>
        </w:rPr>
        <w:t>现场报名，</w:t>
      </w:r>
      <w:r>
        <w:rPr>
          <w:rFonts w:hint="eastAsia" w:ascii="仿宋_GB2312" w:eastAsia="仿宋_GB2312" w:cs="仿宋_GB2312"/>
          <w:color w:val="auto"/>
          <w:sz w:val="32"/>
          <w:szCs w:val="32"/>
        </w:rPr>
        <w:t>报名时提交有效的工商营业执照（复印件加盖公章）、法定代表人身份证（复印件加盖公章）或提供委托代理人持授权委托书及代理人身份证（复印件加盖公章）；报名时须缴纳投标保证金（人民币）¥</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000元（未中标者评标结束后无息退还，中标方待合同签订后无息退还）。</w:t>
      </w:r>
    </w:p>
    <w:p w14:paraId="7FEBF6F2">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4.公示期：202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21</w:t>
      </w:r>
      <w:r>
        <w:rPr>
          <w:rFonts w:hint="eastAsia" w:ascii="仿宋_GB2312" w:eastAsia="仿宋_GB2312" w:cs="仿宋_GB2312"/>
          <w:color w:val="auto"/>
          <w:sz w:val="32"/>
          <w:szCs w:val="32"/>
        </w:rPr>
        <w:t>日—202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p>
    <w:p w14:paraId="5011B121">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5.开标时间：</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24</w:t>
      </w:r>
      <w:r>
        <w:rPr>
          <w:rFonts w:hint="eastAsia" w:ascii="仿宋_GB2312" w:eastAsia="仿宋_GB2312" w:cs="仿宋_GB2312"/>
          <w:color w:val="auto"/>
          <w:sz w:val="32"/>
          <w:szCs w:val="32"/>
        </w:rPr>
        <w:t>日</w:t>
      </w:r>
      <w:r>
        <w:rPr>
          <w:rFonts w:hint="eastAsia" w:ascii="仿宋_GB2312" w:eastAsia="仿宋_GB2312" w:cs="仿宋_GB2312"/>
          <w:color w:val="auto"/>
          <w:sz w:val="32"/>
          <w:szCs w:val="32"/>
          <w:lang w:val="en-US" w:eastAsia="zh-CN"/>
        </w:rPr>
        <w:t>下午14</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0</w:t>
      </w:r>
    </w:p>
    <w:p w14:paraId="5A0F6F19">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6.标书递交</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开标现场</w:t>
      </w:r>
    </w:p>
    <w:p w14:paraId="5B382C33">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7.开标地点：</w:t>
      </w:r>
      <w:r>
        <w:rPr>
          <w:rFonts w:hint="eastAsia" w:ascii="仿宋_GB2312" w:eastAsia="仿宋_GB2312" w:cs="仿宋_GB2312"/>
          <w:color w:val="auto"/>
          <w:sz w:val="32"/>
          <w:szCs w:val="32"/>
        </w:rPr>
        <w:t>铜仁职业技术</w:t>
      </w:r>
      <w:r>
        <w:rPr>
          <w:rFonts w:hint="eastAsia" w:ascii="仿宋_GB2312" w:eastAsia="仿宋_GB2312" w:cs="仿宋_GB2312"/>
          <w:color w:val="auto"/>
          <w:sz w:val="32"/>
          <w:szCs w:val="32"/>
          <w:lang w:val="en-US" w:eastAsia="zh-CN"/>
        </w:rPr>
        <w:t>大</w:t>
      </w:r>
      <w:r>
        <w:rPr>
          <w:rFonts w:hint="eastAsia" w:ascii="仿宋_GB2312" w:eastAsia="仿宋_GB2312" w:cs="仿宋_GB2312"/>
          <w:color w:val="auto"/>
          <w:sz w:val="32"/>
          <w:szCs w:val="32"/>
        </w:rPr>
        <w:t>学</w:t>
      </w:r>
      <w:r>
        <w:rPr>
          <w:rFonts w:hint="eastAsia" w:ascii="仿宋_GB2312" w:eastAsia="仿宋_GB2312" w:cs="仿宋_GB2312"/>
          <w:color w:val="auto"/>
          <w:sz w:val="32"/>
          <w:szCs w:val="32"/>
          <w:lang w:val="en-US" w:eastAsia="zh-CN"/>
        </w:rPr>
        <w:t>行政楼一楼</w:t>
      </w:r>
      <w:r>
        <w:rPr>
          <w:rFonts w:hint="eastAsia" w:ascii="仿宋_GB2312" w:eastAsia="仿宋_GB2312" w:cs="仿宋_GB2312"/>
          <w:color w:val="auto"/>
          <w:sz w:val="32"/>
          <w:szCs w:val="32"/>
        </w:rPr>
        <w:t>会议室</w:t>
      </w:r>
    </w:p>
    <w:p w14:paraId="3C467949">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中标单位需承担本项目专家论证、评审</w:t>
      </w:r>
      <w:r>
        <w:rPr>
          <w:rFonts w:hint="eastAsia" w:ascii="仿宋_GB2312" w:eastAsia="仿宋_GB2312" w:cs="仿宋_GB2312"/>
          <w:sz w:val="32"/>
          <w:szCs w:val="32"/>
          <w:lang w:eastAsia="zh-CN"/>
        </w:rPr>
        <w:t>等</w:t>
      </w:r>
      <w:r>
        <w:rPr>
          <w:rFonts w:hint="eastAsia" w:ascii="仿宋_GB2312" w:eastAsia="仿宋_GB2312" w:cs="仿宋_GB2312"/>
          <w:sz w:val="32"/>
          <w:szCs w:val="32"/>
        </w:rPr>
        <w:t>费用。</w:t>
      </w:r>
    </w:p>
    <w:p w14:paraId="76A7BE3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九、招标人及联系方式</w:t>
      </w:r>
    </w:p>
    <w:p w14:paraId="1C39E00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招标人：铜仁职业技术大学</w:t>
      </w:r>
    </w:p>
    <w:p w14:paraId="735483D2">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地</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址：贵州省铜仁市碧江区自由路2号</w:t>
      </w:r>
    </w:p>
    <w:p w14:paraId="6FAAE5EC">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联系人：陈玲艳</w:t>
      </w:r>
    </w:p>
    <w:p w14:paraId="3CCF91DE">
      <w:pPr>
        <w:spacing w:line="560" w:lineRule="exact"/>
        <w:ind w:firstLine="640" w:firstLineChars="200"/>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联系方式：15286041610</w:t>
      </w:r>
    </w:p>
    <w:p w14:paraId="2ADC8E92">
      <w:pPr>
        <w:rPr>
          <w:rFonts w:hint="eastAsia" w:ascii="仿宋_GB2312" w:eastAsia="仿宋_GB2312" w:cs="仿宋_GB2312"/>
          <w:sz w:val="32"/>
          <w:szCs w:val="32"/>
        </w:rPr>
      </w:pPr>
    </w:p>
    <w:p w14:paraId="0C52053B">
      <w:pPr>
        <w:rPr>
          <w:rFonts w:ascii="仿宋_GB2312" w:eastAsia="仿宋_GB2312" w:cs="仿宋_GB2312"/>
          <w:sz w:val="32"/>
          <w:szCs w:val="32"/>
        </w:rPr>
      </w:pPr>
      <w:r>
        <w:rPr>
          <w:rFonts w:hint="eastAsia" w:ascii="仿宋_GB2312" w:eastAsia="仿宋_GB2312" w:cs="仿宋_GB2312"/>
          <w:sz w:val="32"/>
          <w:szCs w:val="32"/>
        </w:rPr>
        <w:br w:type="page"/>
      </w:r>
    </w:p>
    <w:p w14:paraId="419F5850">
      <w:pPr>
        <w:rPr>
          <w:rFonts w:ascii="仿宋_GB2312" w:eastAsia="仿宋_GB2312" w:cs="仿宋_GB2312"/>
          <w:sz w:val="32"/>
          <w:szCs w:val="32"/>
        </w:rPr>
        <w:sectPr>
          <w:pgSz w:w="11906" w:h="16838"/>
          <w:pgMar w:top="2098" w:right="1474" w:bottom="1984" w:left="1587" w:header="851" w:footer="992" w:gutter="0"/>
          <w:cols w:space="720" w:num="1"/>
          <w:docGrid w:type="lines" w:linePitch="312" w:charSpace="0"/>
        </w:sectPr>
      </w:pPr>
    </w:p>
    <w:p w14:paraId="6DD2FC0D">
      <w:pPr>
        <w:keepNext w:val="0"/>
        <w:keepLines w:val="0"/>
        <w:widowControl/>
        <w:suppressLineNumbers w:val="0"/>
        <w:jc w:val="center"/>
        <w:textAlignment w:val="center"/>
        <w:rPr>
          <w:rFonts w:hint="default" w:ascii="宋体" w:hAnsi="宋体" w:eastAsia="宋体" w:cs="宋体"/>
          <w:b/>
          <w:bCs/>
          <w:color w:val="000000"/>
          <w:kern w:val="0"/>
          <w:sz w:val="36"/>
          <w:szCs w:val="36"/>
          <w:lang w:val="en-US" w:eastAsia="zh-CN" w:bidi="ar"/>
        </w:rPr>
      </w:pPr>
      <w:r>
        <w:rPr>
          <w:rFonts w:hint="eastAsia" w:ascii="宋体"/>
          <w:color w:val="000000"/>
          <w:sz w:val="32"/>
          <w:szCs w:val="32"/>
        </w:rPr>
        <w:t>附件1：</w:t>
      </w:r>
      <w:r>
        <w:rPr>
          <w:rFonts w:hint="eastAsia" w:ascii="宋体" w:eastAsia="宋体" w:cs="宋体"/>
          <w:color w:val="000000"/>
          <w:sz w:val="32"/>
          <w:szCs w:val="32"/>
        </w:rPr>
        <w:t>无人机</w:t>
      </w:r>
      <w:r>
        <w:rPr>
          <w:rFonts w:hint="eastAsia" w:ascii="宋体" w:eastAsia="宋体" w:cs="宋体"/>
          <w:color w:val="000000"/>
          <w:sz w:val="32"/>
          <w:szCs w:val="32"/>
          <w:lang w:val="en-US" w:eastAsia="zh-CN"/>
        </w:rPr>
        <w:t>执照培训需求参数</w:t>
      </w:r>
    </w:p>
    <w:tbl>
      <w:tblPr>
        <w:tblStyle w:val="11"/>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738"/>
        <w:gridCol w:w="6791"/>
      </w:tblGrid>
      <w:tr w14:paraId="008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77" w:type="dxa"/>
            <w:shd w:val="clear" w:color="auto" w:fill="auto"/>
            <w:vAlign w:val="center"/>
          </w:tcPr>
          <w:p w14:paraId="07040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 w:val="21"/>
                <w:szCs w:val="21"/>
                <w:lang w:val="en-US" w:eastAsia="zh-CN" w:bidi="ar"/>
              </w:rPr>
              <w:t>名称</w:t>
            </w:r>
          </w:p>
        </w:tc>
        <w:tc>
          <w:tcPr>
            <w:tcW w:w="738" w:type="dxa"/>
            <w:shd w:val="clear" w:color="auto" w:fill="auto"/>
            <w:vAlign w:val="center"/>
          </w:tcPr>
          <w:p w14:paraId="3B368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宋体" w:hAnsi="宋体" w:eastAsia="宋体" w:cs="宋体"/>
                <w:b/>
                <w:bCs/>
                <w:color w:val="000000"/>
                <w:kern w:val="2"/>
                <w:sz w:val="21"/>
                <w:szCs w:val="21"/>
                <w:lang w:val="en-US" w:eastAsia="zh-CN" w:bidi="ar-SA"/>
              </w:rPr>
            </w:pPr>
            <w:r>
              <w:rPr>
                <w:rFonts w:hint="eastAsia" w:ascii="宋体" w:hAnsi="宋体" w:cs="宋体"/>
                <w:b/>
                <w:bCs/>
                <w:color w:val="000000"/>
                <w:kern w:val="0"/>
                <w:sz w:val="21"/>
                <w:szCs w:val="21"/>
                <w:lang w:val="en-US" w:eastAsia="zh-CN" w:bidi="ar"/>
              </w:rPr>
              <w:t>参训人数</w:t>
            </w:r>
          </w:p>
        </w:tc>
        <w:tc>
          <w:tcPr>
            <w:tcW w:w="6791" w:type="dxa"/>
            <w:shd w:val="clear" w:color="auto" w:fill="auto"/>
            <w:vAlign w:val="center"/>
          </w:tcPr>
          <w:p w14:paraId="6D3DF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参数</w:t>
            </w:r>
          </w:p>
        </w:tc>
      </w:tr>
      <w:tr w14:paraId="0819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177" w:type="dxa"/>
            <w:shd w:val="clear" w:color="auto" w:fill="auto"/>
            <w:vAlign w:val="center"/>
          </w:tcPr>
          <w:p w14:paraId="175FF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无人机执照培训</w:t>
            </w:r>
          </w:p>
        </w:tc>
        <w:tc>
          <w:tcPr>
            <w:tcW w:w="738" w:type="dxa"/>
            <w:shd w:val="clear" w:color="auto" w:fill="auto"/>
            <w:vAlign w:val="center"/>
          </w:tcPr>
          <w:p w14:paraId="72632C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r>
              <w:rPr>
                <w:rFonts w:hint="eastAsia" w:ascii="宋体" w:hAnsi="宋体" w:cs="宋体"/>
                <w:color w:val="auto"/>
                <w:kern w:val="0"/>
                <w:sz w:val="21"/>
                <w:szCs w:val="21"/>
                <w:lang w:val="en-US" w:eastAsia="zh-CN"/>
              </w:rPr>
              <w:t>人</w:t>
            </w:r>
          </w:p>
        </w:tc>
        <w:tc>
          <w:tcPr>
            <w:tcW w:w="6791" w:type="dxa"/>
            <w:shd w:val="clear" w:color="auto" w:fill="auto"/>
            <w:vAlign w:val="center"/>
          </w:tcPr>
          <w:p w14:paraId="29426361">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培训机构：具有中国民用航空局（CAAC）无人机驾驶员执照（多旋翼教员）培训资质。培训经验丰富，有企事业单位、学校培训经验，并提供合同。提供具有无人机驾驶执照中型多旋翼培训教练员不低于2人，并提供执照、社保记录。</w:t>
            </w:r>
          </w:p>
          <w:p w14:paraId="033B5E7F">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2.培训时长：理论6天（48学时），实操27天（216学时）。</w:t>
            </w:r>
          </w:p>
          <w:p w14:paraId="595F99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3.培训设备：中型无人机，满足民航局CAAC执照考试需求，中型多旋翼，CF-1801Z。数量1。</w:t>
            </w:r>
            <w:bookmarkStart w:id="8" w:name="_GoBack"/>
            <w:bookmarkEnd w:id="8"/>
          </w:p>
          <w:p w14:paraId="1C3EAB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4.培训题库和课件：具有ACCA培训题库电子版文档和培训理论PPT课件。</w:t>
            </w:r>
          </w:p>
          <w:p w14:paraId="4C748D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5.培训场地：提供满足飞行要求的训练场地。</w:t>
            </w:r>
          </w:p>
          <w:p w14:paraId="43F784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6.培训效果：参加培训学员，考取民用无人驾驶航空器操控员执照（多旋翼-中型超视距）证书。</w:t>
            </w:r>
          </w:p>
          <w:p w14:paraId="1A3BD1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7.验收合格要求：培训人员考证通过率100%。</w:t>
            </w:r>
          </w:p>
        </w:tc>
      </w:tr>
    </w:tbl>
    <w:p w14:paraId="1DF64B27">
      <w:pPr>
        <w:pStyle w:val="5"/>
        <w:rPr>
          <w:rFonts w:hint="eastAsia"/>
        </w:rPr>
        <w:sectPr>
          <w:type w:val="continuous"/>
          <w:pgSz w:w="11906" w:h="16838"/>
          <w:pgMar w:top="1440" w:right="1800" w:bottom="1440" w:left="1800" w:header="851" w:footer="992" w:gutter="0"/>
          <w:cols w:space="720" w:num="1"/>
          <w:docGrid w:type="lines" w:linePitch="312" w:charSpace="0"/>
        </w:sectPr>
      </w:pPr>
    </w:p>
    <w:p w14:paraId="08307431">
      <w:pPr>
        <w:rPr>
          <w:rFonts w:hint="eastAsia" w:ascii="宋体"/>
          <w:sz w:val="32"/>
          <w:szCs w:val="32"/>
        </w:rPr>
      </w:pPr>
      <w:r>
        <w:rPr>
          <w:rFonts w:hint="eastAsia" w:ascii="宋体"/>
          <w:sz w:val="32"/>
          <w:szCs w:val="32"/>
        </w:rPr>
        <w:t>附件2：投标响应清单报价表</w:t>
      </w:r>
    </w:p>
    <w:tbl>
      <w:tblPr>
        <w:tblStyle w:val="10"/>
        <w:tblpPr w:leftFromText="180" w:rightFromText="180" w:vertAnchor="text" w:horzAnchor="page" w:tblpX="1776" w:tblpY="169"/>
        <w:tblOverlap w:val="never"/>
        <w:tblW w:w="13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5990"/>
        <w:gridCol w:w="1461"/>
        <w:gridCol w:w="2962"/>
        <w:gridCol w:w="946"/>
        <w:gridCol w:w="1161"/>
      </w:tblGrid>
      <w:tr w14:paraId="3C89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45E62157">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r>
              <w:rPr>
                <w:rFonts w:hint="eastAsia" w:ascii="宋体" w:cs="新宋体-18030"/>
                <w:b/>
                <w:bCs/>
                <w:color w:val="000000"/>
                <w:sz w:val="24"/>
              </w:rPr>
              <w:t>项目</w:t>
            </w:r>
          </w:p>
        </w:tc>
        <w:tc>
          <w:tcPr>
            <w:tcW w:w="5990" w:type="dxa"/>
            <w:vAlign w:val="center"/>
          </w:tcPr>
          <w:p w14:paraId="2899E085">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r>
              <w:rPr>
                <w:rFonts w:hint="eastAsia" w:ascii="新宋体-18030" w:eastAsia="新宋体-18030" w:cs="新宋体-18030"/>
                <w:b/>
                <w:bCs/>
                <w:color w:val="000000"/>
                <w:sz w:val="24"/>
              </w:rPr>
              <w:t>参数</w:t>
            </w:r>
          </w:p>
        </w:tc>
        <w:tc>
          <w:tcPr>
            <w:tcW w:w="1461" w:type="dxa"/>
            <w:vAlign w:val="center"/>
          </w:tcPr>
          <w:p w14:paraId="324726F5">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r>
              <w:rPr>
                <w:rFonts w:hint="eastAsia" w:ascii="新宋体-18030" w:eastAsia="新宋体-18030" w:cs="新宋体-18030"/>
                <w:b/>
                <w:bCs/>
                <w:color w:val="000000"/>
                <w:kern w:val="0"/>
                <w:sz w:val="24"/>
                <w:szCs w:val="21"/>
              </w:rPr>
              <w:t>数量</w:t>
            </w:r>
          </w:p>
        </w:tc>
        <w:tc>
          <w:tcPr>
            <w:tcW w:w="2962" w:type="dxa"/>
            <w:vAlign w:val="center"/>
          </w:tcPr>
          <w:p w14:paraId="6EAE5A45">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r>
              <w:rPr>
                <w:rFonts w:hint="eastAsia" w:ascii="新宋体-18030" w:hAnsi="新宋体-18030" w:cs="新宋体-18030"/>
                <w:b/>
                <w:bCs/>
                <w:color w:val="000000"/>
                <w:sz w:val="24"/>
              </w:rPr>
              <w:t>单价</w:t>
            </w:r>
          </w:p>
        </w:tc>
        <w:tc>
          <w:tcPr>
            <w:tcW w:w="946" w:type="dxa"/>
            <w:vAlign w:val="center"/>
          </w:tcPr>
          <w:p w14:paraId="31C9FE08">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r>
              <w:rPr>
                <w:rFonts w:hint="eastAsia" w:ascii="新宋体-18030" w:hAnsi="新宋体-18030" w:cs="新宋体-18030"/>
                <w:b/>
                <w:bCs/>
                <w:color w:val="000000"/>
                <w:sz w:val="24"/>
              </w:rPr>
              <w:t>总价</w:t>
            </w:r>
          </w:p>
        </w:tc>
        <w:tc>
          <w:tcPr>
            <w:tcW w:w="1161" w:type="dxa"/>
            <w:vAlign w:val="center"/>
          </w:tcPr>
          <w:p w14:paraId="2D234137">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r>
              <w:rPr>
                <w:rFonts w:hint="eastAsia" w:ascii="新宋体-18030" w:eastAsia="新宋体-18030" w:cs="新宋体-18030"/>
                <w:b/>
                <w:bCs/>
                <w:color w:val="000000"/>
                <w:sz w:val="24"/>
              </w:rPr>
              <w:t>备注</w:t>
            </w:r>
          </w:p>
        </w:tc>
      </w:tr>
      <w:tr w14:paraId="42DC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05CBBD6D">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p>
        </w:tc>
        <w:tc>
          <w:tcPr>
            <w:tcW w:w="5990" w:type="dxa"/>
            <w:vAlign w:val="center"/>
          </w:tcPr>
          <w:p w14:paraId="742EC1E1">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461" w:type="dxa"/>
            <w:vAlign w:val="center"/>
          </w:tcPr>
          <w:p w14:paraId="40D0D949">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p>
        </w:tc>
        <w:tc>
          <w:tcPr>
            <w:tcW w:w="2962" w:type="dxa"/>
            <w:vAlign w:val="center"/>
          </w:tcPr>
          <w:p w14:paraId="272CABCC">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946" w:type="dxa"/>
            <w:vAlign w:val="center"/>
          </w:tcPr>
          <w:p w14:paraId="77C7889F">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161" w:type="dxa"/>
            <w:vAlign w:val="center"/>
          </w:tcPr>
          <w:p w14:paraId="3CD141F5">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r w14:paraId="605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7EB1FD35">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p>
        </w:tc>
        <w:tc>
          <w:tcPr>
            <w:tcW w:w="5990" w:type="dxa"/>
            <w:vAlign w:val="center"/>
          </w:tcPr>
          <w:p w14:paraId="0D4BDBBC">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461" w:type="dxa"/>
            <w:vAlign w:val="center"/>
          </w:tcPr>
          <w:p w14:paraId="323969FA">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p>
        </w:tc>
        <w:tc>
          <w:tcPr>
            <w:tcW w:w="2962" w:type="dxa"/>
            <w:vAlign w:val="center"/>
          </w:tcPr>
          <w:p w14:paraId="5FA37BE0">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946" w:type="dxa"/>
            <w:vAlign w:val="center"/>
          </w:tcPr>
          <w:p w14:paraId="1DD43B56">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161" w:type="dxa"/>
            <w:vAlign w:val="center"/>
          </w:tcPr>
          <w:p w14:paraId="71F5087D">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r w14:paraId="4C25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4EBE5E2E">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p>
        </w:tc>
        <w:tc>
          <w:tcPr>
            <w:tcW w:w="5990" w:type="dxa"/>
            <w:vAlign w:val="center"/>
          </w:tcPr>
          <w:p w14:paraId="1D0B6054">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461" w:type="dxa"/>
            <w:vAlign w:val="center"/>
          </w:tcPr>
          <w:p w14:paraId="77F8AC1D">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p>
        </w:tc>
        <w:tc>
          <w:tcPr>
            <w:tcW w:w="2962" w:type="dxa"/>
            <w:vAlign w:val="center"/>
          </w:tcPr>
          <w:p w14:paraId="50B4288B">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946" w:type="dxa"/>
            <w:vAlign w:val="center"/>
          </w:tcPr>
          <w:p w14:paraId="72F4A471">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161" w:type="dxa"/>
            <w:vAlign w:val="center"/>
          </w:tcPr>
          <w:p w14:paraId="6F1072A8">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r w14:paraId="7464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236445A3">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p>
        </w:tc>
        <w:tc>
          <w:tcPr>
            <w:tcW w:w="5990" w:type="dxa"/>
            <w:vAlign w:val="center"/>
          </w:tcPr>
          <w:p w14:paraId="46AD32A0">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461" w:type="dxa"/>
            <w:vAlign w:val="center"/>
          </w:tcPr>
          <w:p w14:paraId="0E210C5E">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p>
        </w:tc>
        <w:tc>
          <w:tcPr>
            <w:tcW w:w="2962" w:type="dxa"/>
            <w:vAlign w:val="center"/>
          </w:tcPr>
          <w:p w14:paraId="087CC384">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946" w:type="dxa"/>
            <w:vAlign w:val="center"/>
          </w:tcPr>
          <w:p w14:paraId="014FEBAF">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161" w:type="dxa"/>
            <w:vAlign w:val="center"/>
          </w:tcPr>
          <w:p w14:paraId="7B65A494">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r w14:paraId="082C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4F3C1C1F">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p>
        </w:tc>
        <w:tc>
          <w:tcPr>
            <w:tcW w:w="5990" w:type="dxa"/>
            <w:vAlign w:val="center"/>
          </w:tcPr>
          <w:p w14:paraId="4927C8D4">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461" w:type="dxa"/>
            <w:vAlign w:val="center"/>
          </w:tcPr>
          <w:p w14:paraId="5DE806D8">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p>
        </w:tc>
        <w:tc>
          <w:tcPr>
            <w:tcW w:w="2962" w:type="dxa"/>
            <w:vAlign w:val="center"/>
          </w:tcPr>
          <w:p w14:paraId="33821D8C">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946" w:type="dxa"/>
            <w:vAlign w:val="center"/>
          </w:tcPr>
          <w:p w14:paraId="572E4B81">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161" w:type="dxa"/>
            <w:vAlign w:val="center"/>
          </w:tcPr>
          <w:p w14:paraId="1F6D4074">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r w14:paraId="7FB0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57" w:type="dxa"/>
            <w:vAlign w:val="center"/>
          </w:tcPr>
          <w:p w14:paraId="6AB1BC0B">
            <w:pPr>
              <w:keepNext w:val="0"/>
              <w:keepLines w:val="0"/>
              <w:suppressLineNumbers w:val="0"/>
              <w:spacing w:before="0" w:beforeAutospacing="0" w:after="0" w:afterAutospacing="0" w:line="440" w:lineRule="exact"/>
              <w:ind w:left="0" w:right="0"/>
              <w:jc w:val="center"/>
              <w:rPr>
                <w:rFonts w:hint="default" w:ascii="宋体" w:cs="新宋体-18030"/>
                <w:b/>
                <w:bCs/>
                <w:color w:val="000000"/>
                <w:sz w:val="24"/>
              </w:rPr>
            </w:pPr>
          </w:p>
        </w:tc>
        <w:tc>
          <w:tcPr>
            <w:tcW w:w="5990" w:type="dxa"/>
            <w:vAlign w:val="center"/>
          </w:tcPr>
          <w:p w14:paraId="29C54090">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461" w:type="dxa"/>
            <w:vAlign w:val="center"/>
          </w:tcPr>
          <w:p w14:paraId="4BC13520">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p>
        </w:tc>
        <w:tc>
          <w:tcPr>
            <w:tcW w:w="2962" w:type="dxa"/>
            <w:vAlign w:val="center"/>
          </w:tcPr>
          <w:p w14:paraId="427BDFBE">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946" w:type="dxa"/>
            <w:vAlign w:val="center"/>
          </w:tcPr>
          <w:p w14:paraId="4C1E001B">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c>
          <w:tcPr>
            <w:tcW w:w="1161" w:type="dxa"/>
            <w:vAlign w:val="center"/>
          </w:tcPr>
          <w:p w14:paraId="4ABC0E01">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r w14:paraId="0894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608" w:type="dxa"/>
            <w:gridSpan w:val="3"/>
            <w:vAlign w:val="center"/>
          </w:tcPr>
          <w:p w14:paraId="4250A1B1">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kern w:val="0"/>
                <w:sz w:val="24"/>
                <w:szCs w:val="21"/>
              </w:rPr>
            </w:pPr>
            <w:r>
              <w:rPr>
                <w:rFonts w:hint="eastAsia" w:ascii="新宋体-18030" w:eastAsia="新宋体-18030" w:cs="新宋体-18030"/>
                <w:b/>
                <w:bCs/>
                <w:color w:val="000000"/>
                <w:kern w:val="0"/>
                <w:sz w:val="24"/>
                <w:szCs w:val="21"/>
              </w:rPr>
              <w:t>合计</w:t>
            </w:r>
          </w:p>
        </w:tc>
        <w:tc>
          <w:tcPr>
            <w:tcW w:w="5069" w:type="dxa"/>
            <w:gridSpan w:val="3"/>
            <w:vAlign w:val="center"/>
          </w:tcPr>
          <w:p w14:paraId="2A57E264">
            <w:pPr>
              <w:keepNext w:val="0"/>
              <w:keepLines w:val="0"/>
              <w:suppressLineNumbers w:val="0"/>
              <w:spacing w:before="0" w:beforeAutospacing="0" w:after="0" w:afterAutospacing="0" w:line="440" w:lineRule="exact"/>
              <w:ind w:left="0" w:right="0"/>
              <w:jc w:val="center"/>
              <w:rPr>
                <w:rFonts w:hint="default" w:ascii="新宋体-18030" w:eastAsia="新宋体-18030" w:cs="新宋体-18030"/>
                <w:b/>
                <w:bCs/>
                <w:color w:val="000000"/>
                <w:sz w:val="24"/>
              </w:rPr>
            </w:pPr>
          </w:p>
        </w:tc>
      </w:tr>
    </w:tbl>
    <w:p w14:paraId="4FA42EC8">
      <w:pPr>
        <w:rPr>
          <w:rFonts w:ascii="仿宋_GB2312" w:eastAsia="仿宋_GB2312" w:cs="仿宋_GB2312"/>
          <w:sz w:val="32"/>
          <w:szCs w:val="32"/>
        </w:rPr>
        <w:sectPr>
          <w:type w:val="continuous"/>
          <w:pgSz w:w="16838" w:h="11906" w:orient="landscape"/>
          <w:pgMar w:top="1800" w:right="1440" w:bottom="1800" w:left="1440" w:header="851" w:footer="992" w:gutter="0"/>
          <w:cols w:space="720" w:num="1"/>
          <w:docGrid w:type="lines" w:linePitch="312" w:charSpace="0"/>
        </w:sectPr>
      </w:pPr>
    </w:p>
    <w:p w14:paraId="6B52411D">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评分标准</w:t>
      </w:r>
    </w:p>
    <w:p w14:paraId="714A7227">
      <w:pPr>
        <w:rPr>
          <w:rFonts w:hint="eastAsia"/>
          <w:lang w:val="en-US" w:eastAsia="zh-CN"/>
        </w:rPr>
      </w:pPr>
    </w:p>
    <w:p w14:paraId="0D2DCE4C">
      <w:pPr>
        <w:spacing w:line="589" w:lineRule="exact"/>
        <w:jc w:val="both"/>
        <w:outlineLvl w:val="0"/>
        <w:rPr>
          <w:lang w:eastAsia="zh-CN"/>
        </w:rPr>
      </w:pPr>
      <w:bookmarkStart w:id="0" w:name="_bookmark79"/>
      <w:bookmarkEnd w:id="0"/>
      <w:bookmarkStart w:id="1" w:name="_bookmark80"/>
      <w:bookmarkEnd w:id="1"/>
      <w:bookmarkStart w:id="2" w:name="_bookmark75"/>
      <w:bookmarkEnd w:id="2"/>
      <w:bookmarkStart w:id="3" w:name="_bookmark81"/>
      <w:bookmarkEnd w:id="3"/>
      <w:bookmarkStart w:id="4" w:name="_Toc548"/>
      <w:r>
        <w:rPr>
          <w:rFonts w:hint="eastAsia" w:ascii="宋体" w:hAnsi="宋体" w:eastAsia="宋体" w:cs="宋体"/>
          <w:b/>
          <w:bCs/>
          <w:sz w:val="36"/>
          <w:szCs w:val="36"/>
          <w:lang w:eastAsia="zh-CN"/>
        </w:rPr>
        <w:t>评分办法</w:t>
      </w:r>
      <w:bookmarkEnd w:id="4"/>
    </w:p>
    <w:tbl>
      <w:tblPr>
        <w:tblStyle w:val="10"/>
        <w:tblW w:w="9528" w:type="dxa"/>
        <w:jc w:val="center"/>
        <w:tblLayout w:type="fixed"/>
        <w:tblCellMar>
          <w:top w:w="0" w:type="dxa"/>
          <w:left w:w="0" w:type="dxa"/>
          <w:bottom w:w="0" w:type="dxa"/>
          <w:right w:w="0" w:type="dxa"/>
        </w:tblCellMar>
      </w:tblPr>
      <w:tblGrid>
        <w:gridCol w:w="900"/>
        <w:gridCol w:w="1254"/>
        <w:gridCol w:w="1531"/>
        <w:gridCol w:w="5843"/>
      </w:tblGrid>
      <w:tr w14:paraId="468FBB56">
        <w:tblPrEx>
          <w:tblCellMar>
            <w:top w:w="0" w:type="dxa"/>
            <w:left w:w="0" w:type="dxa"/>
            <w:bottom w:w="0" w:type="dxa"/>
            <w:right w:w="0" w:type="dxa"/>
          </w:tblCellMar>
        </w:tblPrEx>
        <w:trPr>
          <w:trHeight w:val="517" w:hRule="exact"/>
          <w:jc w:val="center"/>
        </w:trPr>
        <w:tc>
          <w:tcPr>
            <w:tcW w:w="2154" w:type="dxa"/>
            <w:gridSpan w:val="2"/>
            <w:tcBorders>
              <w:top w:val="single" w:color="000000" w:sz="4" w:space="0"/>
              <w:left w:val="single" w:color="000000" w:sz="4" w:space="0"/>
              <w:bottom w:val="single" w:color="auto" w:sz="4" w:space="0"/>
              <w:right w:val="single" w:color="000000" w:sz="4" w:space="0"/>
            </w:tcBorders>
            <w:vAlign w:val="center"/>
          </w:tcPr>
          <w:p w14:paraId="32EC1695">
            <w:pPr>
              <w:pStyle w:val="15"/>
              <w:spacing w:before="44"/>
              <w:ind w:left="53" w:leftChars="25" w:right="53" w:rightChars="25"/>
              <w:jc w:val="center"/>
              <w:rPr>
                <w:rFonts w:ascii="宋体" w:hAnsi="宋体" w:eastAsia="宋体" w:cs="宋体"/>
                <w:kern w:val="2"/>
                <w:sz w:val="21"/>
                <w:szCs w:val="21"/>
              </w:rPr>
            </w:pPr>
            <w:bookmarkStart w:id="5" w:name="_bookmark82"/>
            <w:bookmarkEnd w:id="5"/>
            <w:r>
              <w:rPr>
                <w:rFonts w:hint="eastAsia" w:ascii="宋体" w:hAnsi="宋体" w:eastAsia="宋体" w:cs="宋体"/>
                <w:kern w:val="2"/>
                <w:sz w:val="21"/>
                <w:szCs w:val="21"/>
              </w:rPr>
              <w:t>条款号</w:t>
            </w:r>
          </w:p>
        </w:tc>
        <w:tc>
          <w:tcPr>
            <w:tcW w:w="1531" w:type="dxa"/>
            <w:tcBorders>
              <w:top w:val="single" w:color="000000" w:sz="4" w:space="0"/>
              <w:left w:val="single" w:color="000000" w:sz="4" w:space="0"/>
              <w:bottom w:val="single" w:color="auto" w:sz="4" w:space="0"/>
              <w:right w:val="single" w:color="000000" w:sz="4" w:space="0"/>
            </w:tcBorders>
            <w:vAlign w:val="center"/>
          </w:tcPr>
          <w:p w14:paraId="43A69755">
            <w:pPr>
              <w:pStyle w:val="15"/>
              <w:spacing w:before="44"/>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评分因素</w:t>
            </w:r>
          </w:p>
        </w:tc>
        <w:tc>
          <w:tcPr>
            <w:tcW w:w="5843" w:type="dxa"/>
            <w:tcBorders>
              <w:top w:val="single" w:color="000000" w:sz="4" w:space="0"/>
              <w:left w:val="single" w:color="000000" w:sz="4" w:space="0"/>
              <w:bottom w:val="single" w:color="000000" w:sz="4" w:space="0"/>
              <w:right w:val="single" w:color="000000" w:sz="4" w:space="0"/>
            </w:tcBorders>
            <w:vAlign w:val="center"/>
          </w:tcPr>
          <w:p w14:paraId="1C3CEE9B">
            <w:pPr>
              <w:pStyle w:val="15"/>
              <w:spacing w:before="44"/>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评分标准</w:t>
            </w:r>
          </w:p>
        </w:tc>
      </w:tr>
      <w:tr w14:paraId="518EFA48">
        <w:tblPrEx>
          <w:tblCellMar>
            <w:top w:w="0" w:type="dxa"/>
            <w:left w:w="0" w:type="dxa"/>
            <w:bottom w:w="0" w:type="dxa"/>
            <w:right w:w="0" w:type="dxa"/>
          </w:tblCellMar>
        </w:tblPrEx>
        <w:trPr>
          <w:trHeight w:val="1275" w:hRule="atLeast"/>
          <w:jc w:val="center"/>
        </w:trPr>
        <w:tc>
          <w:tcPr>
            <w:tcW w:w="900" w:type="dxa"/>
            <w:vMerge w:val="restart"/>
            <w:tcBorders>
              <w:top w:val="single" w:color="auto" w:sz="4" w:space="0"/>
              <w:left w:val="single" w:color="auto" w:sz="4" w:space="0"/>
              <w:right w:val="single" w:color="auto" w:sz="4" w:space="0"/>
            </w:tcBorders>
            <w:vAlign w:val="center"/>
          </w:tcPr>
          <w:p w14:paraId="3EBC31F5">
            <w:pPr>
              <w:pStyle w:val="15"/>
              <w:spacing w:before="86"/>
              <w:ind w:left="53" w:leftChars="25" w:right="53" w:rightChars="25"/>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1254" w:type="dxa"/>
            <w:vMerge w:val="restart"/>
            <w:tcBorders>
              <w:top w:val="single" w:color="auto" w:sz="4" w:space="0"/>
              <w:left w:val="single" w:color="auto" w:sz="4" w:space="0"/>
              <w:right w:val="single" w:color="auto" w:sz="4" w:space="0"/>
            </w:tcBorders>
            <w:vAlign w:val="center"/>
          </w:tcPr>
          <w:p w14:paraId="4372EE5C">
            <w:pPr>
              <w:pStyle w:val="15"/>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商务</w:t>
            </w:r>
          </w:p>
          <w:p w14:paraId="548038F6">
            <w:pPr>
              <w:pStyle w:val="15"/>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评分</w:t>
            </w:r>
          </w:p>
          <w:p w14:paraId="3DC9FB98">
            <w:pPr>
              <w:pStyle w:val="15"/>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标准</w:t>
            </w:r>
          </w:p>
          <w:p w14:paraId="73E3BF16">
            <w:pPr>
              <w:pStyle w:val="15"/>
              <w:ind w:left="53" w:leftChars="25" w:right="53" w:rightChars="25"/>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37</w:t>
            </w:r>
            <w:r>
              <w:rPr>
                <w:rFonts w:hint="eastAsia" w:ascii="宋体" w:hAnsi="宋体" w:eastAsia="宋体" w:cs="宋体"/>
                <w:kern w:val="2"/>
                <w:sz w:val="21"/>
                <w:szCs w:val="21"/>
                <w:lang w:eastAsia="zh-CN"/>
              </w:rPr>
              <w:t>分）</w:t>
            </w:r>
          </w:p>
        </w:tc>
        <w:tc>
          <w:tcPr>
            <w:tcW w:w="1531" w:type="dxa"/>
            <w:tcBorders>
              <w:top w:val="single" w:color="auto" w:sz="4" w:space="0"/>
              <w:left w:val="single" w:color="auto" w:sz="4" w:space="0"/>
              <w:bottom w:val="single" w:color="auto" w:sz="4" w:space="0"/>
              <w:right w:val="single" w:color="auto" w:sz="4" w:space="0"/>
            </w:tcBorders>
            <w:vAlign w:val="center"/>
          </w:tcPr>
          <w:p w14:paraId="1C084CBA">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类似业绩</w:t>
            </w:r>
          </w:p>
          <w:p w14:paraId="5DB06657">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Ansi="宋体" w:eastAsia="宋体"/>
                <w:color w:val="auto"/>
                <w:kern w:val="2"/>
                <w:sz w:val="21"/>
                <w:szCs w:val="21"/>
                <w:lang w:eastAsia="zh-CN"/>
              </w:rPr>
            </w:pPr>
            <w:r>
              <w:rPr>
                <w:rFonts w:hint="eastAsia" w:ascii="宋体" w:hAnsi="宋体" w:eastAsia="宋体" w:cs="宋体"/>
                <w:color w:val="auto"/>
                <w:kern w:val="2"/>
                <w:sz w:val="21"/>
                <w:szCs w:val="21"/>
                <w:lang w:val="en-US" w:eastAsia="zh-CN"/>
              </w:rPr>
              <w:t>（10分）</w:t>
            </w:r>
          </w:p>
        </w:tc>
        <w:tc>
          <w:tcPr>
            <w:tcW w:w="5843" w:type="dxa"/>
            <w:tcBorders>
              <w:top w:val="single" w:color="000000" w:sz="4" w:space="0"/>
              <w:left w:val="single" w:color="auto" w:sz="4" w:space="0"/>
              <w:bottom w:val="single" w:color="000000" w:sz="4" w:space="0"/>
              <w:right w:val="single" w:color="000000" w:sz="4" w:space="0"/>
            </w:tcBorders>
            <w:vAlign w:val="center"/>
          </w:tcPr>
          <w:p w14:paraId="77E4AD52">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default"/>
                <w:color w:val="auto"/>
                <w:lang w:val="en-US" w:eastAsia="zh-CN"/>
              </w:rPr>
            </w:pPr>
            <w:r>
              <w:rPr>
                <w:rFonts w:hint="eastAsia" w:ascii="宋体" w:hAnsi="宋体" w:eastAsia="宋体" w:cs="宋体"/>
                <w:color w:val="auto"/>
                <w:kern w:val="2"/>
                <w:sz w:val="21"/>
                <w:szCs w:val="21"/>
                <w:lang w:val="en-US" w:eastAsia="zh-CN"/>
              </w:rPr>
              <w:t>1.投标人需提供近三年无人机执照（CAAC）培训服务相关的业绩，每提供1个得2分，本项最高10分。需提供中标通知书或合同协议书复印件（扫描件）。</w:t>
            </w:r>
          </w:p>
        </w:tc>
      </w:tr>
      <w:tr w14:paraId="385F9C56">
        <w:tblPrEx>
          <w:tblCellMar>
            <w:top w:w="0" w:type="dxa"/>
            <w:left w:w="0" w:type="dxa"/>
            <w:bottom w:w="0" w:type="dxa"/>
            <w:right w:w="0" w:type="dxa"/>
          </w:tblCellMar>
        </w:tblPrEx>
        <w:trPr>
          <w:trHeight w:val="2495" w:hRule="atLeast"/>
          <w:jc w:val="center"/>
        </w:trPr>
        <w:tc>
          <w:tcPr>
            <w:tcW w:w="900" w:type="dxa"/>
            <w:vMerge w:val="continue"/>
            <w:tcBorders>
              <w:left w:val="single" w:color="auto" w:sz="4" w:space="0"/>
              <w:right w:val="single" w:color="auto" w:sz="4" w:space="0"/>
            </w:tcBorders>
            <w:vAlign w:val="center"/>
          </w:tcPr>
          <w:p w14:paraId="2DB74459">
            <w:pPr>
              <w:pStyle w:val="15"/>
              <w:spacing w:before="88" w:line="400" w:lineRule="exact"/>
              <w:ind w:left="53" w:leftChars="25" w:right="53" w:rightChars="25"/>
              <w:jc w:val="center"/>
              <w:rPr>
                <w:rFonts w:ascii="宋体" w:hAnsi="宋体" w:eastAsia="宋体" w:cs="宋体"/>
                <w:kern w:val="2"/>
                <w:sz w:val="21"/>
                <w:szCs w:val="21"/>
              </w:rPr>
            </w:pPr>
          </w:p>
        </w:tc>
        <w:tc>
          <w:tcPr>
            <w:tcW w:w="1254" w:type="dxa"/>
            <w:vMerge w:val="continue"/>
            <w:tcBorders>
              <w:left w:val="single" w:color="auto" w:sz="4" w:space="0"/>
              <w:right w:val="single" w:color="auto" w:sz="4" w:space="0"/>
            </w:tcBorders>
            <w:vAlign w:val="center"/>
          </w:tcPr>
          <w:p w14:paraId="57E602AA">
            <w:pPr>
              <w:pStyle w:val="15"/>
              <w:spacing w:line="400" w:lineRule="exact"/>
              <w:ind w:left="53" w:leftChars="25" w:right="53" w:rightChars="25"/>
              <w:jc w:val="center"/>
              <w:rPr>
                <w:rFonts w:ascii="宋体" w:hAnsi="宋体" w:eastAsia="宋体" w:cs="宋体"/>
                <w:kern w:val="2"/>
                <w:sz w:val="21"/>
                <w:szCs w:val="21"/>
                <w:lang w:eastAsia="zh-CN"/>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E44D2CD">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企业实力</w:t>
            </w:r>
          </w:p>
          <w:p w14:paraId="590CBD8B">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（13分）</w:t>
            </w:r>
          </w:p>
        </w:tc>
        <w:tc>
          <w:tcPr>
            <w:tcW w:w="5843" w:type="dxa"/>
            <w:tcBorders>
              <w:top w:val="single" w:color="000000" w:sz="4" w:space="0"/>
              <w:left w:val="single" w:color="auto" w:sz="4" w:space="0"/>
              <w:bottom w:val="single" w:color="auto" w:sz="4" w:space="0"/>
              <w:right w:val="single" w:color="000000" w:sz="4" w:space="0"/>
            </w:tcBorders>
            <w:shd w:val="clear" w:color="auto" w:fill="auto"/>
            <w:vAlign w:val="center"/>
          </w:tcPr>
          <w:p w14:paraId="13C8D166">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1.投标人具有中国民用航空局颁发的《民用无人驾驶航空器运营合格证》的得5分； </w:t>
            </w:r>
          </w:p>
          <w:p w14:paraId="454ADAAE">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2.投标人具有中国航空器拥有者及驾驶员协会颁发的“民用无人机驾驶员训练机构合格证”的得5分； </w:t>
            </w:r>
          </w:p>
          <w:p w14:paraId="2E61C69F">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3.投标人近三年内获得过中国民航飞行员协会或者中国航空器拥有者及驾驶员协会颁发的年度优秀训练机构荣誉证书，每提供一个年度的得1分，最高得3分；</w:t>
            </w:r>
          </w:p>
          <w:p w14:paraId="493FB76F">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default"/>
                <w:color w:val="auto"/>
                <w:lang w:val="en-US" w:eastAsia="zh-CN"/>
              </w:rPr>
            </w:pPr>
            <w:r>
              <w:rPr>
                <w:rFonts w:hint="eastAsia" w:ascii="宋体" w:hAnsi="宋体" w:eastAsia="宋体" w:cs="宋体"/>
                <w:color w:val="auto"/>
                <w:kern w:val="2"/>
                <w:sz w:val="21"/>
                <w:szCs w:val="21"/>
                <w:lang w:val="en-US" w:eastAsia="zh-CN"/>
              </w:rPr>
              <w:t>注：以上证书需提供有效的证书扫描件或复印件。</w:t>
            </w:r>
          </w:p>
        </w:tc>
      </w:tr>
      <w:tr w14:paraId="338931A6">
        <w:tblPrEx>
          <w:tblCellMar>
            <w:top w:w="0" w:type="dxa"/>
            <w:left w:w="0" w:type="dxa"/>
            <w:bottom w:w="0" w:type="dxa"/>
            <w:right w:w="0" w:type="dxa"/>
          </w:tblCellMar>
        </w:tblPrEx>
        <w:trPr>
          <w:trHeight w:val="1675" w:hRule="atLeast"/>
          <w:jc w:val="center"/>
        </w:trPr>
        <w:tc>
          <w:tcPr>
            <w:tcW w:w="900" w:type="dxa"/>
            <w:vMerge w:val="continue"/>
            <w:tcBorders>
              <w:left w:val="single" w:color="auto" w:sz="4" w:space="0"/>
              <w:bottom w:val="single" w:color="auto" w:sz="4" w:space="0"/>
              <w:right w:val="single" w:color="auto" w:sz="4" w:space="0"/>
            </w:tcBorders>
            <w:vAlign w:val="center"/>
          </w:tcPr>
          <w:p w14:paraId="343EB17B">
            <w:pPr>
              <w:pStyle w:val="15"/>
              <w:spacing w:before="88" w:line="400" w:lineRule="exact"/>
              <w:ind w:left="53" w:leftChars="25" w:right="53" w:rightChars="25"/>
              <w:jc w:val="center"/>
              <w:rPr>
                <w:rFonts w:ascii="宋体" w:hAnsi="宋体" w:eastAsia="宋体" w:cs="宋体"/>
                <w:kern w:val="2"/>
                <w:sz w:val="21"/>
                <w:szCs w:val="21"/>
              </w:rPr>
            </w:pPr>
          </w:p>
        </w:tc>
        <w:tc>
          <w:tcPr>
            <w:tcW w:w="1254" w:type="dxa"/>
            <w:vMerge w:val="continue"/>
            <w:tcBorders>
              <w:left w:val="single" w:color="auto" w:sz="4" w:space="0"/>
              <w:bottom w:val="single" w:color="auto" w:sz="4" w:space="0"/>
              <w:right w:val="single" w:color="auto" w:sz="4" w:space="0"/>
            </w:tcBorders>
            <w:vAlign w:val="center"/>
          </w:tcPr>
          <w:p w14:paraId="24B054BD">
            <w:pPr>
              <w:pStyle w:val="15"/>
              <w:spacing w:line="400" w:lineRule="exact"/>
              <w:ind w:left="53" w:leftChars="25" w:right="53" w:rightChars="25"/>
              <w:jc w:val="center"/>
              <w:rPr>
                <w:rFonts w:ascii="宋体" w:hAnsi="宋体" w:eastAsia="宋体" w:cs="宋体"/>
                <w:kern w:val="2"/>
                <w:sz w:val="21"/>
                <w:szCs w:val="21"/>
                <w:lang w:eastAsia="zh-CN"/>
              </w:rPr>
            </w:pPr>
          </w:p>
        </w:tc>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C3EB9BF">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项目负责人及教官</w:t>
            </w:r>
          </w:p>
          <w:p w14:paraId="251F2AB5">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（14分）</w:t>
            </w:r>
          </w:p>
        </w:tc>
        <w:tc>
          <w:tcPr>
            <w:tcW w:w="5843" w:type="dxa"/>
            <w:tcBorders>
              <w:top w:val="single" w:color="000000" w:sz="4" w:space="0"/>
              <w:left w:val="single" w:color="auto" w:sz="4" w:space="0"/>
              <w:bottom w:val="single" w:color="auto" w:sz="4" w:space="0"/>
              <w:right w:val="single" w:color="000000" w:sz="4" w:space="0"/>
            </w:tcBorders>
            <w:shd w:val="clear" w:color="auto" w:fill="auto"/>
            <w:vAlign w:val="center"/>
          </w:tcPr>
          <w:p w14:paraId="0EE30FA3">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投标人负责本次培训项目的总负责人具备人社部颁发的高级企业培训师证书的得5分；</w:t>
            </w:r>
          </w:p>
          <w:p w14:paraId="59C786F5">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投标人负责本次培训项目的培训教官具备民用无人机驾驶员航空器多旋翼中型教员执照，每提供1个得3分，最高9分。</w:t>
            </w:r>
          </w:p>
          <w:p w14:paraId="1B16F2C3">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注：需提供项目负责人与培训教官近一年的社保缴纳证明、身份证复印件、上述有效证书的扫描件或复印件，不提供不得分。</w:t>
            </w:r>
          </w:p>
        </w:tc>
      </w:tr>
      <w:tr w14:paraId="222B923E">
        <w:tblPrEx>
          <w:tblCellMar>
            <w:top w:w="0" w:type="dxa"/>
            <w:left w:w="0" w:type="dxa"/>
            <w:bottom w:w="0" w:type="dxa"/>
            <w:right w:w="0" w:type="dxa"/>
          </w:tblCellMar>
        </w:tblPrEx>
        <w:trPr>
          <w:trHeight w:val="492" w:hRule="atLeast"/>
          <w:jc w:val="center"/>
        </w:trPr>
        <w:tc>
          <w:tcPr>
            <w:tcW w:w="900" w:type="dxa"/>
            <w:vMerge w:val="restart"/>
            <w:tcBorders>
              <w:top w:val="single" w:color="auto" w:sz="4" w:space="0"/>
              <w:left w:val="single" w:color="auto" w:sz="4" w:space="0"/>
              <w:right w:val="single" w:color="auto" w:sz="4" w:space="0"/>
            </w:tcBorders>
            <w:vAlign w:val="center"/>
          </w:tcPr>
          <w:p w14:paraId="44743277">
            <w:pPr>
              <w:pStyle w:val="15"/>
              <w:spacing w:before="88" w:line="400" w:lineRule="exact"/>
              <w:ind w:left="53" w:leftChars="25" w:right="53" w:rightChars="25"/>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1254" w:type="dxa"/>
            <w:vMerge w:val="restart"/>
            <w:tcBorders>
              <w:top w:val="single" w:color="auto" w:sz="4" w:space="0"/>
              <w:left w:val="single" w:color="auto" w:sz="4" w:space="0"/>
              <w:right w:val="single" w:color="auto" w:sz="4" w:space="0"/>
            </w:tcBorders>
            <w:vAlign w:val="center"/>
          </w:tcPr>
          <w:p w14:paraId="3BC7C7A4">
            <w:pPr>
              <w:pStyle w:val="15"/>
              <w:spacing w:line="400" w:lineRule="exact"/>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技术</w:t>
            </w:r>
          </w:p>
          <w:p w14:paraId="0E09AC31">
            <w:pPr>
              <w:pStyle w:val="15"/>
              <w:spacing w:line="400" w:lineRule="exact"/>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评分</w:t>
            </w:r>
          </w:p>
          <w:p w14:paraId="12642A89">
            <w:pPr>
              <w:pStyle w:val="15"/>
              <w:spacing w:line="400" w:lineRule="exact"/>
              <w:ind w:left="53" w:leftChars="25" w:right="53" w:rightChars="25"/>
              <w:jc w:val="center"/>
              <w:rPr>
                <w:rFonts w:ascii="宋体" w:hAnsi="宋体" w:eastAsia="宋体" w:cs="宋体"/>
                <w:kern w:val="2"/>
                <w:sz w:val="21"/>
                <w:szCs w:val="21"/>
              </w:rPr>
            </w:pPr>
            <w:r>
              <w:rPr>
                <w:rFonts w:hint="eastAsia" w:ascii="宋体" w:hAnsi="宋体" w:eastAsia="宋体" w:cs="宋体"/>
                <w:kern w:val="2"/>
                <w:sz w:val="21"/>
                <w:szCs w:val="21"/>
              </w:rPr>
              <w:t>标准</w:t>
            </w:r>
          </w:p>
          <w:p w14:paraId="129914E2">
            <w:pPr>
              <w:pStyle w:val="15"/>
              <w:spacing w:line="400" w:lineRule="exact"/>
              <w:ind w:left="53" w:leftChars="25" w:right="53" w:rightChars="25"/>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33</w:t>
            </w:r>
            <w:r>
              <w:rPr>
                <w:rFonts w:hint="eastAsia" w:ascii="宋体" w:hAnsi="宋体" w:eastAsia="宋体" w:cs="宋体"/>
                <w:kern w:val="2"/>
                <w:sz w:val="21"/>
                <w:szCs w:val="21"/>
                <w:lang w:eastAsia="zh-CN"/>
              </w:rPr>
              <w:t>分）</w:t>
            </w:r>
          </w:p>
        </w:tc>
        <w:tc>
          <w:tcPr>
            <w:tcW w:w="1531" w:type="dxa"/>
            <w:tcBorders>
              <w:top w:val="single" w:color="auto" w:sz="4" w:space="0"/>
              <w:left w:val="single" w:color="auto" w:sz="4" w:space="0"/>
              <w:bottom w:val="single" w:color="auto" w:sz="4" w:space="0"/>
              <w:right w:val="single" w:color="auto" w:sz="4" w:space="0"/>
            </w:tcBorders>
            <w:vAlign w:val="center"/>
          </w:tcPr>
          <w:p w14:paraId="2C2BE489">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培训方案和培训计划</w:t>
            </w:r>
          </w:p>
          <w:p w14:paraId="4D27F224">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rPr>
              <w:t>（20分）</w:t>
            </w:r>
          </w:p>
        </w:tc>
        <w:tc>
          <w:tcPr>
            <w:tcW w:w="5843" w:type="dxa"/>
            <w:tcBorders>
              <w:top w:val="single" w:color="000000" w:sz="4" w:space="0"/>
              <w:left w:val="single" w:color="auto" w:sz="4" w:space="0"/>
              <w:bottom w:val="single" w:color="auto" w:sz="4" w:space="0"/>
              <w:right w:val="single" w:color="000000" w:sz="4" w:space="0"/>
            </w:tcBorders>
            <w:vAlign w:val="center"/>
          </w:tcPr>
          <w:p w14:paraId="62E823F1">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1.投标人针对本项目制定培训方案和培训计划，得10分。</w:t>
            </w:r>
          </w:p>
          <w:p w14:paraId="5780C163">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2.根据培训方案和培训计划内容具体全面，科学合理、逻辑完整、可行性，进行横向比较评分（0-10分）。</w:t>
            </w:r>
          </w:p>
          <w:p w14:paraId="073A2719">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rPr>
              <w:t>3.未提供培训方案和培训计划，得0分。</w:t>
            </w:r>
          </w:p>
        </w:tc>
      </w:tr>
      <w:tr w14:paraId="1E3AC4E9">
        <w:tblPrEx>
          <w:tblCellMar>
            <w:top w:w="0" w:type="dxa"/>
            <w:left w:w="0" w:type="dxa"/>
            <w:bottom w:w="0" w:type="dxa"/>
            <w:right w:w="0" w:type="dxa"/>
          </w:tblCellMar>
        </w:tblPrEx>
        <w:trPr>
          <w:trHeight w:val="1267" w:hRule="atLeast"/>
          <w:jc w:val="center"/>
        </w:trPr>
        <w:tc>
          <w:tcPr>
            <w:tcW w:w="900" w:type="dxa"/>
            <w:vMerge w:val="continue"/>
            <w:tcBorders>
              <w:left w:val="single" w:color="auto" w:sz="4" w:space="0"/>
              <w:bottom w:val="single" w:color="auto" w:sz="4" w:space="0"/>
              <w:right w:val="single" w:color="auto" w:sz="4" w:space="0"/>
            </w:tcBorders>
            <w:vAlign w:val="center"/>
          </w:tcPr>
          <w:p w14:paraId="2F3E1644">
            <w:pPr>
              <w:pStyle w:val="15"/>
              <w:spacing w:before="88" w:line="400" w:lineRule="exact"/>
              <w:ind w:left="53" w:leftChars="25" w:right="53" w:rightChars="25"/>
              <w:jc w:val="center"/>
              <w:rPr>
                <w:rFonts w:hint="eastAsia" w:ascii="宋体" w:hAnsi="宋体" w:eastAsia="宋体" w:cs="宋体"/>
                <w:kern w:val="2"/>
                <w:sz w:val="21"/>
                <w:szCs w:val="21"/>
                <w:lang w:val="en-US" w:eastAsia="zh-CN"/>
              </w:rPr>
            </w:pPr>
          </w:p>
        </w:tc>
        <w:tc>
          <w:tcPr>
            <w:tcW w:w="1254" w:type="dxa"/>
            <w:vMerge w:val="continue"/>
            <w:tcBorders>
              <w:left w:val="single" w:color="auto" w:sz="4" w:space="0"/>
              <w:bottom w:val="single" w:color="auto" w:sz="4" w:space="0"/>
              <w:right w:val="single" w:color="auto" w:sz="4" w:space="0"/>
            </w:tcBorders>
            <w:vAlign w:val="center"/>
          </w:tcPr>
          <w:p w14:paraId="574002DC">
            <w:pPr>
              <w:pStyle w:val="15"/>
              <w:spacing w:line="400" w:lineRule="exact"/>
              <w:ind w:left="53" w:leftChars="25" w:right="53" w:rightChars="25"/>
              <w:jc w:val="center"/>
              <w:rPr>
                <w:rFonts w:hint="eastAsia" w:ascii="宋体" w:hAnsi="宋体" w:eastAsia="宋体" w:cs="宋体"/>
                <w:kern w:val="2"/>
                <w:sz w:val="21"/>
                <w:szCs w:val="21"/>
                <w:lang w:eastAsia="zh-CN"/>
              </w:rPr>
            </w:pPr>
          </w:p>
        </w:tc>
        <w:tc>
          <w:tcPr>
            <w:tcW w:w="1531" w:type="dxa"/>
            <w:tcBorders>
              <w:top w:val="single" w:color="auto" w:sz="4" w:space="0"/>
              <w:left w:val="single" w:color="auto" w:sz="4" w:space="0"/>
              <w:bottom w:val="single" w:color="auto" w:sz="4" w:space="0"/>
              <w:right w:val="single" w:color="auto" w:sz="4" w:space="0"/>
            </w:tcBorders>
            <w:vAlign w:val="center"/>
          </w:tcPr>
          <w:p w14:paraId="0689DCAB">
            <w:pPr>
              <w:spacing w:line="400" w:lineRule="exact"/>
              <w:ind w:left="42" w:leftChars="20" w:right="42" w:rightChars="2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教学能力</w:t>
            </w:r>
          </w:p>
          <w:p w14:paraId="7F551998">
            <w:pPr>
              <w:spacing w:line="400" w:lineRule="exact"/>
              <w:ind w:left="42" w:leftChars="20" w:right="42" w:rightChars="20"/>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（13分）</w:t>
            </w:r>
          </w:p>
        </w:tc>
        <w:tc>
          <w:tcPr>
            <w:tcW w:w="5843" w:type="dxa"/>
            <w:tcBorders>
              <w:top w:val="single" w:color="000000" w:sz="4" w:space="0"/>
              <w:left w:val="single" w:color="auto" w:sz="4" w:space="0"/>
              <w:bottom w:val="single" w:color="auto" w:sz="4" w:space="0"/>
              <w:right w:val="single" w:color="000000" w:sz="4" w:space="0"/>
            </w:tcBorders>
            <w:vAlign w:val="center"/>
          </w:tcPr>
          <w:p w14:paraId="19615653">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1.投标人具有独家使用和管理权的无人机培训管理平台，需提供平台开发证明材料和平台功能页面截图，两者均提供的得8分，少提供或者不提供的不得分；</w:t>
            </w:r>
          </w:p>
          <w:p w14:paraId="515749A8">
            <w:pPr>
              <w:keepNext w:val="0"/>
              <w:keepLines w:val="0"/>
              <w:pageBreakBefore w:val="0"/>
              <w:widowControl w:val="0"/>
              <w:kinsoku/>
              <w:wordWrap/>
              <w:overflowPunct/>
              <w:topLinePunct w:val="0"/>
              <w:autoSpaceDE/>
              <w:autoSpaceDN/>
              <w:bidi w:val="0"/>
              <w:adjustRightInd/>
              <w:snapToGrid/>
              <w:spacing w:line="400" w:lineRule="atLeast"/>
              <w:ind w:left="42" w:leftChars="20" w:right="42" w:rightChars="20"/>
              <w:jc w:val="left"/>
              <w:rPr>
                <w:rFonts w:hint="default"/>
                <w:color w:val="auto"/>
                <w:lang w:val="en-US" w:eastAsia="zh-CN"/>
              </w:rPr>
            </w:pPr>
            <w:r>
              <w:rPr>
                <w:rFonts w:hint="eastAsia" w:ascii="宋体" w:hAnsi="宋体" w:eastAsia="宋体" w:cs="宋体"/>
                <w:color w:val="auto"/>
                <w:kern w:val="2"/>
                <w:sz w:val="21"/>
                <w:szCs w:val="21"/>
                <w:lang w:val="en-US" w:eastAsia="zh-CN"/>
              </w:rPr>
              <w:t>2.投标人出版过无人机相关课程教材，需提供教材封面和具备教材基本信息页面的扫描件图片用于佐证，两者均提供的得5分，少提供或者不提供的不得分；</w:t>
            </w:r>
          </w:p>
        </w:tc>
      </w:tr>
      <w:tr w14:paraId="52D32287">
        <w:tblPrEx>
          <w:tblCellMar>
            <w:top w:w="0" w:type="dxa"/>
            <w:left w:w="0" w:type="dxa"/>
            <w:bottom w:w="0" w:type="dxa"/>
            <w:right w:w="0" w:type="dxa"/>
          </w:tblCellMar>
        </w:tblPrEx>
        <w:trPr>
          <w:trHeight w:val="9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79ECC51">
            <w:pPr>
              <w:pStyle w:val="15"/>
              <w:spacing w:before="88" w:line="400" w:lineRule="exact"/>
              <w:ind w:left="53" w:leftChars="25" w:right="53" w:rightChars="25"/>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w:t>
            </w:r>
          </w:p>
        </w:tc>
        <w:tc>
          <w:tcPr>
            <w:tcW w:w="1254" w:type="dxa"/>
            <w:tcBorders>
              <w:top w:val="single" w:color="auto" w:sz="4" w:space="0"/>
              <w:left w:val="single" w:color="auto" w:sz="4" w:space="0"/>
              <w:bottom w:val="single" w:color="auto" w:sz="4" w:space="0"/>
              <w:right w:val="single" w:color="auto" w:sz="4" w:space="0"/>
            </w:tcBorders>
            <w:vAlign w:val="center"/>
          </w:tcPr>
          <w:p w14:paraId="19B8EAC5">
            <w:pPr>
              <w:pStyle w:val="15"/>
              <w:spacing w:line="420" w:lineRule="exact"/>
              <w:ind w:left="53" w:leftChars="25" w:right="53" w:rightChars="25"/>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投标报价（</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lang w:eastAsia="zh-CN"/>
              </w:rPr>
              <w:t>0分）</w:t>
            </w:r>
          </w:p>
        </w:tc>
        <w:tc>
          <w:tcPr>
            <w:tcW w:w="7374" w:type="dxa"/>
            <w:gridSpan w:val="2"/>
            <w:tcBorders>
              <w:top w:val="single" w:color="auto" w:sz="4" w:space="0"/>
              <w:left w:val="single" w:color="auto" w:sz="4" w:space="0"/>
              <w:bottom w:val="single" w:color="auto" w:sz="4" w:space="0"/>
              <w:right w:val="single" w:color="auto" w:sz="4" w:space="0"/>
            </w:tcBorders>
            <w:vAlign w:val="center"/>
          </w:tcPr>
          <w:p w14:paraId="09E9FA9F">
            <w:pPr>
              <w:spacing w:line="420" w:lineRule="exact"/>
              <w:ind w:left="53" w:leftChars="25" w:right="-71" w:rightChars="-34"/>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投标报价得分＝（评标基准价/有效投标报价）×价格权值（</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0）×100%；</w:t>
            </w:r>
          </w:p>
          <w:p w14:paraId="3A0A376F">
            <w:pPr>
              <w:spacing w:line="420" w:lineRule="exact"/>
              <w:ind w:left="53" w:leftChars="25" w:right="-71" w:rightChars="-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）评标基准价为最低的有效投标报价</w:t>
            </w:r>
            <w:r>
              <w:rPr>
                <w:rFonts w:hint="eastAsia" w:ascii="宋体" w:hAnsi="宋体" w:eastAsia="宋体" w:cs="宋体"/>
                <w:color w:val="auto"/>
                <w:sz w:val="21"/>
                <w:szCs w:val="21"/>
                <w:lang w:val="en-US" w:eastAsia="zh-CN"/>
              </w:rPr>
              <w:t>。</w:t>
            </w:r>
          </w:p>
          <w:p w14:paraId="269A39DF">
            <w:pPr>
              <w:spacing w:line="420" w:lineRule="exact"/>
              <w:ind w:left="53" w:leftChars="25" w:right="-71" w:rightChars="-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）报价得分按四舍五入法取小数点后两位；</w:t>
            </w:r>
          </w:p>
          <w:p w14:paraId="6708C314">
            <w:pPr>
              <w:spacing w:line="420" w:lineRule="exact"/>
              <w:ind w:left="53" w:leftChars="25" w:right="-71" w:rightChars="-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）有效投标报价界定为：有效投标</w:t>
            </w:r>
            <w:r>
              <w:rPr>
                <w:rFonts w:hint="eastAsia" w:ascii="宋体" w:hAnsi="宋体" w:eastAsia="宋体" w:cs="宋体"/>
                <w:color w:val="auto"/>
                <w:sz w:val="21"/>
                <w:szCs w:val="21"/>
                <w:lang w:val="en-US" w:eastAsia="zh-CN"/>
              </w:rPr>
              <w:t>报</w:t>
            </w:r>
            <w:r>
              <w:rPr>
                <w:rFonts w:hint="eastAsia" w:ascii="宋体" w:hAnsi="宋体" w:eastAsia="宋体" w:cs="宋体"/>
                <w:color w:val="auto"/>
                <w:sz w:val="21"/>
                <w:szCs w:val="21"/>
                <w:lang w:eastAsia="zh-CN"/>
              </w:rPr>
              <w:t>价≤最高限价；</w:t>
            </w:r>
          </w:p>
          <w:p w14:paraId="41F1EFE2">
            <w:pPr>
              <w:spacing w:line="420" w:lineRule="exact"/>
              <w:ind w:left="53" w:leftChars="25" w:right="-71" w:rightChars="-34"/>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评标委员会认为投标人的报价明显低于其他投标人的报价，有可能影响服务质量或者不能诚信履约的，应当要求其在评标现场合理的时间内提供书面说明，必要时提交相关证明材料；如果投标人不能证明其报价合理性的，评标委员会应当将其作为无效投标处理。</w:t>
            </w:r>
          </w:p>
          <w:p w14:paraId="5A2B63FF">
            <w:pPr>
              <w:spacing w:line="420" w:lineRule="exact"/>
              <w:ind w:left="53" w:leftChars="25" w:right="-71" w:rightChars="-34"/>
              <w:rPr>
                <w:lang w:eastAsia="zh-CN"/>
              </w:rPr>
            </w:pPr>
            <w:r>
              <w:rPr>
                <w:rFonts w:hint="eastAsia" w:ascii="宋体" w:hAnsi="宋体" w:eastAsia="宋体" w:cs="宋体"/>
                <w:color w:val="auto"/>
                <w:sz w:val="21"/>
                <w:szCs w:val="21"/>
                <w:lang w:val="en-US" w:eastAsia="zh-CN"/>
              </w:rPr>
              <w:t>（6）价格调整因素：</w:t>
            </w:r>
            <w:r>
              <w:rPr>
                <w:rFonts w:hint="eastAsia" w:asciiTheme="majorEastAsia" w:hAnsiTheme="majorEastAsia" w:eastAsiaTheme="majorEastAsia" w:cstheme="majorEastAsia"/>
                <w:color w:val="auto"/>
                <w:sz w:val="21"/>
                <w:szCs w:val="21"/>
                <w:lang w:eastAsia="zh-CN"/>
              </w:rPr>
              <w:t>①</w:t>
            </w:r>
            <w:r>
              <w:rPr>
                <w:rFonts w:hint="eastAsia" w:ascii="宋体" w:hAnsi="宋体" w:eastAsia="宋体" w:cs="宋体"/>
                <w:color w:val="auto"/>
                <w:sz w:val="21"/>
                <w:szCs w:val="21"/>
                <w:lang w:eastAsia="zh-CN"/>
              </w:rPr>
              <w:t>根据</w:t>
            </w:r>
            <w:r>
              <w:rPr>
                <w:rFonts w:hint="eastAsia" w:ascii="宋体" w:hAnsi="宋体" w:eastAsia="宋体" w:cs="宋体"/>
                <w:color w:val="auto"/>
                <w:sz w:val="21"/>
                <w:szCs w:val="21"/>
                <w:lang w:val="en-US" w:eastAsia="zh-CN"/>
              </w:rPr>
              <w:t>《政府采购促进中小企业发展管理办法》（</w:t>
            </w:r>
            <w:r>
              <w:rPr>
                <w:rFonts w:hint="eastAsia" w:ascii="宋体" w:hAnsi="宋体" w:eastAsia="宋体" w:cs="宋体"/>
                <w:color w:val="auto"/>
                <w:sz w:val="21"/>
                <w:szCs w:val="21"/>
                <w:lang w:eastAsia="zh-CN"/>
              </w:rPr>
              <w:t>财库</w:t>
            </w:r>
            <w:r>
              <w:rPr>
                <w:rFonts w:hint="eastAsia" w:ascii="宋体" w:hAnsi="宋体" w:eastAsia="宋体" w:cs="宋体"/>
                <w:color w:val="auto"/>
                <w:sz w:val="21"/>
                <w:szCs w:val="21"/>
                <w:lang w:val="en-US" w:eastAsia="zh-CN"/>
              </w:rPr>
              <w:t>[2020]46号）文件规定，</w:t>
            </w:r>
            <w:r>
              <w:rPr>
                <w:rFonts w:hint="eastAsia" w:ascii="宋体" w:hAnsi="宋体" w:eastAsia="宋体" w:cs="宋体"/>
                <w:color w:val="auto"/>
                <w:sz w:val="21"/>
                <w:szCs w:val="21"/>
                <w:lang w:eastAsia="zh-CN"/>
              </w:rPr>
              <w:t>投标人如为小微企业</w:t>
            </w:r>
            <w:r>
              <w:rPr>
                <w:rFonts w:hint="eastAsia" w:ascii="宋体" w:hAnsi="宋体" w:eastAsia="宋体" w:cs="宋体"/>
                <w:color w:val="auto"/>
                <w:sz w:val="21"/>
                <w:szCs w:val="21"/>
                <w:lang w:val="en-US" w:eastAsia="zh-CN"/>
              </w:rPr>
              <w:t>报价给予10%的扣除，</w:t>
            </w:r>
            <w:r>
              <w:rPr>
                <w:rFonts w:hint="eastAsia" w:ascii="宋体" w:hAnsi="宋体" w:eastAsia="宋体" w:cs="宋体"/>
                <w:color w:val="auto"/>
                <w:sz w:val="21"/>
                <w:szCs w:val="21"/>
                <w:lang w:eastAsia="zh-CN"/>
              </w:rPr>
              <w:t>用扣除后的价格作为评标价参与评审。投标人需提供《中小企业声明函》。</w:t>
            </w:r>
            <w:r>
              <w:rPr>
                <w:rFonts w:hint="eastAsia" w:asciiTheme="majorEastAsia" w:hAnsiTheme="majorEastAsia" w:eastAsiaTheme="majorEastAsia" w:cstheme="majorEastAsia"/>
                <w:color w:val="auto"/>
                <w:sz w:val="21"/>
                <w:szCs w:val="21"/>
                <w:lang w:eastAsia="zh-CN"/>
              </w:rPr>
              <w:t>②</w:t>
            </w:r>
            <w:r>
              <w:rPr>
                <w:rFonts w:hint="eastAsia" w:ascii="宋体" w:hAnsi="宋体" w:eastAsia="宋体" w:cs="宋体"/>
                <w:color w:val="auto"/>
                <w:sz w:val="21"/>
                <w:szCs w:val="21"/>
                <w:lang w:val="en-US" w:eastAsia="zh-CN"/>
              </w:rPr>
              <w:t>第二次报价：最终投标报价以第二轮报价为准。</w:t>
            </w:r>
          </w:p>
        </w:tc>
      </w:tr>
    </w:tbl>
    <w:p w14:paraId="515010FB">
      <w:pPr>
        <w:rPr>
          <w:rFonts w:ascii="仿宋_GB2312" w:eastAsia="仿宋_GB2312" w:cs="仿宋_GB2312"/>
          <w:sz w:val="32"/>
          <w:szCs w:val="32"/>
        </w:rPr>
      </w:pPr>
      <w:bookmarkStart w:id="6" w:name="_bookmark83"/>
      <w:bookmarkEnd w:id="6"/>
      <w:bookmarkStart w:id="7" w:name="_bookmark92"/>
      <w:bookmarkEnd w:id="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Calibri"/>
    <w:panose1 w:val="00000000000000000000"/>
    <w:charset w:val="00"/>
    <w:family w:val="auto"/>
    <w:pitch w:val="default"/>
    <w:sig w:usb0="00000000" w:usb1="00000000" w:usb2="00000000" w:usb3="00000000" w:csb0="00000000" w:csb1="00000000"/>
  </w:font>
  <w:font w:name="荣耀黑体">
    <w:altName w:val="Calibri"/>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18030">
    <w:altName w:val="宋体"/>
    <w:panose1 w:val="00000000000000000000"/>
    <w:charset w:val="86"/>
    <w:family w:val="modern"/>
    <w:pitch w:val="default"/>
    <w:sig w:usb0="00000000" w:usb1="00000000" w:usb2="000A005E"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D3A0C"/>
    <w:multiLevelType w:val="singleLevel"/>
    <w:tmpl w:val="994D3A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53"/>
    <w:rsid w:val="000E5132"/>
    <w:rsid w:val="003B47AE"/>
    <w:rsid w:val="00416CCB"/>
    <w:rsid w:val="004D524F"/>
    <w:rsid w:val="005F2F30"/>
    <w:rsid w:val="00926BAF"/>
    <w:rsid w:val="00AB7F5A"/>
    <w:rsid w:val="00AD5826"/>
    <w:rsid w:val="00D03D53"/>
    <w:rsid w:val="00E64AA9"/>
    <w:rsid w:val="03127926"/>
    <w:rsid w:val="033B10AF"/>
    <w:rsid w:val="046934C3"/>
    <w:rsid w:val="06143A1B"/>
    <w:rsid w:val="061B4495"/>
    <w:rsid w:val="084A5DC4"/>
    <w:rsid w:val="09407481"/>
    <w:rsid w:val="094E014B"/>
    <w:rsid w:val="0B2B5A29"/>
    <w:rsid w:val="0C272694"/>
    <w:rsid w:val="0C8353F1"/>
    <w:rsid w:val="0D786F20"/>
    <w:rsid w:val="0D9A6E96"/>
    <w:rsid w:val="0E610CE8"/>
    <w:rsid w:val="0F2F211D"/>
    <w:rsid w:val="101A42BE"/>
    <w:rsid w:val="10640718"/>
    <w:rsid w:val="1480664E"/>
    <w:rsid w:val="159F65AC"/>
    <w:rsid w:val="160752E5"/>
    <w:rsid w:val="1D3424C7"/>
    <w:rsid w:val="1D9C4EF4"/>
    <w:rsid w:val="201C373B"/>
    <w:rsid w:val="22B1460E"/>
    <w:rsid w:val="23BA3996"/>
    <w:rsid w:val="248F4E23"/>
    <w:rsid w:val="25BB0A6F"/>
    <w:rsid w:val="2E5B1E5B"/>
    <w:rsid w:val="2E714081"/>
    <w:rsid w:val="317B29B7"/>
    <w:rsid w:val="33064502"/>
    <w:rsid w:val="351F18AB"/>
    <w:rsid w:val="35305866"/>
    <w:rsid w:val="3755558A"/>
    <w:rsid w:val="3D534EB2"/>
    <w:rsid w:val="3F1955BD"/>
    <w:rsid w:val="408A4123"/>
    <w:rsid w:val="41AB6913"/>
    <w:rsid w:val="43F263DD"/>
    <w:rsid w:val="46465EF9"/>
    <w:rsid w:val="466162F1"/>
    <w:rsid w:val="4961482E"/>
    <w:rsid w:val="4AE01685"/>
    <w:rsid w:val="4D6B792C"/>
    <w:rsid w:val="500C5476"/>
    <w:rsid w:val="51E43809"/>
    <w:rsid w:val="53BF644F"/>
    <w:rsid w:val="57BD0DBF"/>
    <w:rsid w:val="5ADF54B5"/>
    <w:rsid w:val="5C9205A6"/>
    <w:rsid w:val="5CD10E2D"/>
    <w:rsid w:val="5E0B0A91"/>
    <w:rsid w:val="5F553F98"/>
    <w:rsid w:val="5F9473D8"/>
    <w:rsid w:val="62F125A6"/>
    <w:rsid w:val="64E50E13"/>
    <w:rsid w:val="6A9811DC"/>
    <w:rsid w:val="6CD226C4"/>
    <w:rsid w:val="6DCA5B51"/>
    <w:rsid w:val="73E83206"/>
    <w:rsid w:val="75F71004"/>
    <w:rsid w:val="76B64EC4"/>
    <w:rsid w:val="782F13D2"/>
    <w:rsid w:val="78733653"/>
    <w:rsid w:val="793F7FB7"/>
    <w:rsid w:val="79900569"/>
    <w:rsid w:val="799F4335"/>
    <w:rsid w:val="7BF32717"/>
    <w:rsid w:val="7C7F3FAA"/>
    <w:rsid w:val="7CF84488"/>
    <w:rsid w:val="7DED4808"/>
    <w:rsid w:val="7EBE5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荣耀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Body Text"/>
    <w:basedOn w:val="1"/>
    <w:qFormat/>
    <w:uiPriority w:val="0"/>
    <w:pPr>
      <w:spacing w:after="120" w:afterLines="0"/>
    </w:pPr>
  </w:style>
  <w:style w:type="paragraph" w:styleId="6">
    <w:name w:val="Date"/>
    <w:basedOn w:val="1"/>
    <w:qFormat/>
    <w:uiPriority w:val="0"/>
    <w:rPr>
      <w:sz w:val="28"/>
      <w:szCs w:val="2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表段落1"/>
    <w:basedOn w:val="1"/>
    <w:qFormat/>
    <w:uiPriority w:val="0"/>
    <w:pPr>
      <w:ind w:firstLine="200" w:firstLineChars="200"/>
    </w:pPr>
  </w:style>
  <w:style w:type="paragraph" w:customStyle="1" w:styleId="15">
    <w:name w:val="Table Paragraph"/>
    <w:basedOn w:val="1"/>
    <w:qFormat/>
    <w:uiPriority w:val="1"/>
  </w:style>
  <w:style w:type="paragraph" w:customStyle="1" w:styleId="16">
    <w:name w:val="四级标题"/>
    <w:basedOn w:val="6"/>
    <w:qFormat/>
    <w:uiPriority w:val="0"/>
    <w:rPr>
      <w:rFonts w:eastAsia="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9</Pages>
  <Words>2108</Words>
  <Characters>2223</Characters>
  <Lines>8</Lines>
  <Paragraphs>2</Paragraphs>
  <TotalTime>24</TotalTime>
  <ScaleCrop>false</ScaleCrop>
  <LinksUpToDate>false</LinksUpToDate>
  <CharactersWithSpaces>2225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2025-08-11T05:15:00Z</dcterms:created>
  <dc:creator>冯立健</dc:creator>
  <cp:lastModifiedBy>小翻</cp:lastModifiedBy>
  <cp:lastPrinted>2025-10-21T08:44:44Z</cp:lastPrinted>
  <dcterms:modified xsi:type="dcterms:W3CDTF">2025-10-21T08:47:53Z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eyJoZGlkIjoiNWIxODU0YjYxNzk4NGViNjg5ODI3ODgwMjY4MmFkNDUiLCJ1c2VySWQiOiI3MjQ2MjA4MDQifQ==</vt:lpwstr>
  </property>
  <property fmtid="{D5CDD505-2E9C-101B-9397-08002B2CF9AE}" pid="3" name="KSOProductBuildVer">
    <vt:lpwstr>2052-12.1.0.23125</vt:lpwstr>
  </property>
  <property fmtid="{D5CDD505-2E9C-101B-9397-08002B2CF9AE}" pid="4" name="ICV">
    <vt:lpwstr>F29971A65F8D4FD6BABE469676CD9231_13</vt:lpwstr>
  </property>
</Properties>
</file>