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BCAA">
      <w:pPr>
        <w:spacing w:line="640" w:lineRule="exact"/>
        <w:jc w:val="center"/>
        <w:rPr>
          <w:rFonts w:hint="eastAsia" w:ascii="宋体" w:hAnsi="宋体" w:cs="方正小标宋_GBK"/>
          <w:color w:val="auto"/>
          <w:sz w:val="44"/>
          <w:szCs w:val="44"/>
        </w:rPr>
      </w:pPr>
      <w:r>
        <w:rPr>
          <w:rFonts w:hint="eastAsia" w:ascii="宋体" w:hAnsi="宋体" w:cs="方正小标宋_GBK"/>
          <w:color w:val="auto"/>
          <w:sz w:val="44"/>
          <w:szCs w:val="44"/>
        </w:rPr>
        <w:t>铜仁职业技术大学农学院</w:t>
      </w:r>
      <w:r>
        <w:rPr>
          <w:rFonts w:hint="eastAsia" w:ascii="宋体" w:hAnsi="宋体" w:cs="方正小标宋_GBK"/>
          <w:color w:val="auto"/>
          <w:sz w:val="44"/>
          <w:szCs w:val="44"/>
        </w:rPr>
        <w:t>武陵山区野生食用菌人工驯化与示范项目木耳菌棒采购</w:t>
      </w:r>
    </w:p>
    <w:p w14:paraId="63FEA73D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一、基本情况</w:t>
      </w:r>
    </w:p>
    <w:p w14:paraId="3B62B510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项目名称：武陵山区野生食用菌人工驯化与示范项目木耳菌棒采购</w:t>
      </w:r>
    </w:p>
    <w:p w14:paraId="54C901D9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项目地点：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铜仁职业技术大学农学院</w:t>
      </w:r>
    </w:p>
    <w:p w14:paraId="3E58D645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项目概况：因项目中黑木耳出菇示范需求，特采购黑木耳菌棒。</w:t>
      </w:r>
    </w:p>
    <w:p w14:paraId="7120F93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供货时间：合同签订后20日内完成供货。</w:t>
      </w:r>
    </w:p>
    <w:p w14:paraId="1906BA1C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二、投标人资格审核内容</w:t>
      </w:r>
    </w:p>
    <w:p w14:paraId="321E7DF1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（一）基本资格要求：</w:t>
      </w:r>
    </w:p>
    <w:p w14:paraId="56D2621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（1）独立法人资格</w:t>
      </w:r>
    </w:p>
    <w:p w14:paraId="600ACB06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具有独立民事责任承担能力，具备合法经营资格。须提供有效营业执照等证明文件。</w:t>
      </w:r>
    </w:p>
    <w:p w14:paraId="191B92E1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（2）专业技术能力</w:t>
      </w:r>
    </w:p>
    <w:p w14:paraId="51DE723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具备履行合同所需的设备、人员及专业技术能力。需提供承诺函原件（格式自定）。</w:t>
      </w:r>
    </w:p>
    <w:p w14:paraId="5DD095D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（3）无违法记录</w:t>
      </w:r>
    </w:p>
    <w:p w14:paraId="2610A46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提供过去3年在政府采购活动中无重大违法记录的书面声明原件（格式自定）。</w:t>
      </w:r>
    </w:p>
    <w:p w14:paraId="6780F59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（4）信用查询</w:t>
      </w:r>
    </w:p>
    <w:p w14:paraId="59597AD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提供“信用中国”信用记录查询截图（截图需清晰显示单位名称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查询时间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及无失信记录</w:t>
      </w:r>
      <w:r>
        <w:rPr>
          <w:rFonts w:hint="eastAsia" w:ascii="仿宋_GB2312" w:eastAsia="仿宋_GB2312" w:cs="仿宋_GB2312"/>
          <w:sz w:val="32"/>
          <w:szCs w:val="32"/>
        </w:rPr>
        <w:t>，查询时间须在公告发布日至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开</w:t>
      </w:r>
      <w:r>
        <w:rPr>
          <w:rFonts w:hint="eastAsia" w:ascii="仿宋_GB2312" w:eastAsia="仿宋_GB2312" w:cs="仿宋_GB2312"/>
          <w:sz w:val="32"/>
          <w:szCs w:val="32"/>
        </w:rPr>
        <w:t>标前）。</w:t>
      </w:r>
      <w:bookmarkStart w:id="0" w:name="_GoBack"/>
      <w:bookmarkEnd w:id="0"/>
    </w:p>
    <w:p w14:paraId="58CA68AA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（5）法定代表人或委托代理人</w:t>
      </w:r>
    </w:p>
    <w:p w14:paraId="681E247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法人参与的需提供法人身份证复印件；代理人参与需提供法人授权委托书、法人及代理人身份证复印件。</w:t>
      </w:r>
    </w:p>
    <w:p w14:paraId="6768BEF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（6）联合体报价</w:t>
      </w:r>
    </w:p>
    <w:p w14:paraId="3873FC1A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本项目不接受联合体投标。</w:t>
      </w:r>
    </w:p>
    <w:p w14:paraId="549B4584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三、项目最高限价及支付方式</w:t>
      </w:r>
    </w:p>
    <w:p w14:paraId="63C6AB26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本项目最高投标限价为¥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0000元（含税包干价），超限价投标无效。</w:t>
      </w:r>
    </w:p>
    <w:p w14:paraId="57A0B49C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支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付方式：待菌棒运输到采购人指定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菇示范基地，验收合格后一次性支付货款。</w:t>
      </w:r>
    </w:p>
    <w:p w14:paraId="4B3D9C6A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四、商务要求</w:t>
      </w:r>
    </w:p>
    <w:p w14:paraId="15A65CE3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1.生产规模达到80000棒/日，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并提供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投标单位的搅拌机、装袋机、灭菌设备等生产设备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相应佐证材料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证明生产规模能达到要求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BAC92B9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2.交货周期：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合同签订后，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20日以内完成菌棒交货并运输到指定出菇基地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提供承诺函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 w14:paraId="2A4623CB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五、采购方式、中标原则</w:t>
      </w:r>
    </w:p>
    <w:p w14:paraId="6748DC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07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采购方式：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本项目采取竞争性谈判，标书报价为第一轮报价，现场报价为第二轮报价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在铜仁职业技术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学校园官网招标采购栏目公示，投标人现场报名，开标现场递交投标文件参与投标，有效投标须满足三家,不足三家作废标处理。</w:t>
      </w:r>
    </w:p>
    <w:p w14:paraId="78B1DE5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中标原则：通过资格性及符合性审查且完全响应招标要求的投标人，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第二轮有效</w:t>
      </w:r>
      <w:r>
        <w:rPr>
          <w:rFonts w:hint="eastAsia" w:ascii="仿宋_GB2312" w:eastAsia="仿宋_GB2312" w:cs="仿宋_GB2312"/>
          <w:sz w:val="32"/>
          <w:szCs w:val="32"/>
        </w:rPr>
        <w:t>报价最低者为中标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eastAsia="仿宋_GB2312" w:cs="仿宋_GB2312"/>
          <w:sz w:val="32"/>
          <w:szCs w:val="32"/>
        </w:rPr>
        <w:t>。若报价异常低于其他投标人，需在评审现场合理时间内书面说明合理性，否则视为无效投标。</w:t>
      </w:r>
    </w:p>
    <w:p w14:paraId="352A19CA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标书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制作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纸质文件壹份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使用A4纸打印，胶装、编制目录、页码。竞标人应对投标文件进行密封，并标明项目名称、招标人名称、竞标人名称，注明“开标时间以前不得开封”等字样，加盖投标单位公章。投标文件按格式要求盖章、签字；投标文件须逐页加盖投标单位公章。</w:t>
      </w:r>
    </w:p>
    <w:p w14:paraId="5AAA96E6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六、现场投标需提供如下响应资料（要求：均须加盖投标单位公章，未提供或漏提供视为无效投标，并将移交主管部门投诉处理）</w:t>
      </w:r>
    </w:p>
    <w:p w14:paraId="5D6BEED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1.分项报价单（以附件清单为报价单，需明确菌棒包装规格和材质、菌棒配方、含水率、单价、数量和总价）。</w:t>
      </w:r>
    </w:p>
    <w:p w14:paraId="10B7710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.按采购清单提供所投产品款式图片。</w:t>
      </w:r>
    </w:p>
    <w:p w14:paraId="6878AE4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.提供产品供货及质量承诺。</w:t>
      </w:r>
    </w:p>
    <w:p w14:paraId="78C1C5B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.投标单位提供7*24小时技术响应服务，接到通知后10分钟内响应，30分钟内到达现场处理承诺函。</w:t>
      </w:r>
    </w:p>
    <w:p w14:paraId="3CCB9A2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七、采购内容清单及参数要求</w:t>
      </w:r>
    </w:p>
    <w:p w14:paraId="473DF587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详见附件：项目采购清单。</w:t>
      </w:r>
    </w:p>
    <w:p w14:paraId="0D6379D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八、其他</w:t>
      </w:r>
    </w:p>
    <w:p w14:paraId="7A766CCD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报名截止时间202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下午17:00</w:t>
      </w:r>
    </w:p>
    <w:p w14:paraId="30EB5DF6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2.报名地点：铜仁职业技术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学行政楼后勤部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副部长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办公，联系人：蔡老师（联系电话：18311804628）</w:t>
      </w:r>
    </w:p>
    <w:p w14:paraId="3252E621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3.报名方式：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现场报名，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报名时提交有效的工商营业执照（复印件加盖公章）、法定代表人身份证（复印件加盖公章）或提供委托代理人持授权委托书及代理人身份证（复印件加盖公章）；报名时须缴纳投标保证金（人民币）¥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000元（未中标者评标结束后无息退还，中标方待合同签订后无息退还）。</w:t>
      </w:r>
    </w:p>
    <w:p w14:paraId="7FEBF6F2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4.公示期：202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日—202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 w14:paraId="5011B121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5.开标时间：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上午10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</w:t>
      </w:r>
    </w:p>
    <w:p w14:paraId="5A0F6F19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6.标书递交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开标现场</w:t>
      </w:r>
    </w:p>
    <w:p w14:paraId="5B382C33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7.开标地点：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铜仁职业技术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行政楼一楼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会议室</w:t>
      </w:r>
    </w:p>
    <w:p w14:paraId="3C467949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中标单位需承担本项目专家论证、评审费用。</w:t>
      </w:r>
    </w:p>
    <w:p w14:paraId="76A7BE3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九、招标人及联系方式</w:t>
      </w:r>
    </w:p>
    <w:p w14:paraId="1C39E00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招标人：铜仁职业技术大学</w:t>
      </w:r>
    </w:p>
    <w:p w14:paraId="735483D2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址：贵州省铜仁市碧江区自由路2号</w:t>
      </w:r>
    </w:p>
    <w:p w14:paraId="6FAAE5EC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联系人：冯老师</w:t>
      </w:r>
    </w:p>
    <w:p w14:paraId="3CCF91DE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联系方式：19017797759</w:t>
      </w:r>
    </w:p>
    <w:p w14:paraId="2CDFF7B9">
      <w:pPr>
        <w:rPr>
          <w:rFonts w:hint="eastAsia" w:ascii="仿宋_GB2312" w:eastAsia="仿宋_GB2312" w:cs="仿宋_GB2312"/>
          <w:sz w:val="32"/>
          <w:szCs w:val="32"/>
        </w:rPr>
      </w:pPr>
    </w:p>
    <w:p w14:paraId="1F29120C">
      <w:pPr>
        <w:rPr>
          <w:rFonts w:hint="eastAsia" w:ascii="仿宋_GB2312" w:eastAsia="仿宋_GB2312" w:cs="仿宋_GB2312"/>
          <w:sz w:val="32"/>
          <w:szCs w:val="32"/>
        </w:rPr>
      </w:pPr>
    </w:p>
    <w:p w14:paraId="6A2517C7">
      <w:pPr>
        <w:rPr>
          <w:rFonts w:hint="eastAsia" w:ascii="仿宋_GB2312" w:eastAsia="仿宋_GB2312" w:cs="仿宋_GB2312"/>
          <w:sz w:val="32"/>
          <w:szCs w:val="32"/>
        </w:rPr>
      </w:pPr>
    </w:p>
    <w:p w14:paraId="04F386B6">
      <w:pPr>
        <w:rPr>
          <w:rFonts w:hint="eastAsia" w:ascii="仿宋_GB2312" w:eastAsia="仿宋_GB2312" w:cs="仿宋_GB2312"/>
          <w:sz w:val="32"/>
          <w:szCs w:val="32"/>
        </w:rPr>
      </w:pPr>
    </w:p>
    <w:p w14:paraId="2ADC8E92">
      <w:pPr>
        <w:rPr>
          <w:rFonts w:hint="eastAsia" w:ascii="仿宋_GB2312" w:eastAsia="仿宋_GB2312" w:cs="仿宋_GB2312"/>
          <w:sz w:val="32"/>
          <w:szCs w:val="32"/>
        </w:rPr>
      </w:pPr>
    </w:p>
    <w:p w14:paraId="0C52053B"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 w14:paraId="419F5850">
      <w:pPr>
        <w:rPr>
          <w:rFonts w:asci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90BD187">
      <w:pPr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附件1：项目采购清单</w:t>
      </w:r>
    </w:p>
    <w:tbl>
      <w:tblPr>
        <w:tblStyle w:val="6"/>
        <w:tblW w:w="13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65"/>
        <w:gridCol w:w="8593"/>
        <w:gridCol w:w="2052"/>
      </w:tblGrid>
      <w:tr w14:paraId="6739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6" w:type="dxa"/>
            <w:vAlign w:val="center"/>
          </w:tcPr>
          <w:p w14:paraId="7571E10F">
            <w:pPr>
              <w:spacing w:line="440" w:lineRule="exact"/>
              <w:jc w:val="center"/>
              <w:rPr>
                <w:rFonts w:ascii="宋体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新宋体-18030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14:paraId="2CD4056B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8593" w:type="dxa"/>
            <w:vAlign w:val="center"/>
          </w:tcPr>
          <w:p w14:paraId="5CE0B535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  <w:t>参数</w:t>
            </w:r>
          </w:p>
        </w:tc>
        <w:tc>
          <w:tcPr>
            <w:tcW w:w="2052" w:type="dxa"/>
            <w:vAlign w:val="center"/>
          </w:tcPr>
          <w:p w14:paraId="33949C34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数量</w:t>
            </w:r>
          </w:p>
        </w:tc>
      </w:tr>
      <w:tr w14:paraId="285C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6" w:type="dxa"/>
            <w:vAlign w:val="center"/>
          </w:tcPr>
          <w:p w14:paraId="1BEF3236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26613AA">
            <w:pPr>
              <w:spacing w:line="440" w:lineRule="exact"/>
              <w:jc w:val="lef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黑木耳菌棒</w:t>
            </w:r>
          </w:p>
        </w:tc>
        <w:tc>
          <w:tcPr>
            <w:tcW w:w="8593" w:type="dxa"/>
            <w:vAlign w:val="center"/>
          </w:tcPr>
          <w:p w14:paraId="610D36A0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配料包含杂木屑，麦麸，豆饼粉等，配方符合黑木耳生长规律。</w:t>
            </w:r>
          </w:p>
          <w:p w14:paraId="52F5781B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重量：2.5斤±0.1斤。</w:t>
            </w:r>
          </w:p>
          <w:p w14:paraId="2E0D97C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杂菌污染菌棒不超过千分之一，菌棒状态正常。</w:t>
            </w:r>
          </w:p>
          <w:p w14:paraId="2C555B7E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菌棒规格：</w:t>
            </w:r>
            <w:r>
              <w:rPr>
                <w:rFonts w:ascii="宋体"/>
                <w:color w:val="auto"/>
                <w:sz w:val="24"/>
              </w:rPr>
              <w:t>直径10～11cm，高度21</w:t>
            </w:r>
            <w:r>
              <w:rPr>
                <w:rFonts w:hint="eastAsia" w:ascii="宋体"/>
                <w:color w:val="auto"/>
                <w:sz w:val="24"/>
              </w:rPr>
              <w:t>～</w:t>
            </w:r>
            <w:r>
              <w:rPr>
                <w:rFonts w:ascii="宋体"/>
                <w:color w:val="auto"/>
                <w:sz w:val="24"/>
              </w:rPr>
              <w:t>22cm</w:t>
            </w:r>
            <w:r>
              <w:rPr>
                <w:rFonts w:hint="eastAsia" w:ascii="宋体"/>
                <w:color w:val="auto"/>
                <w:sz w:val="24"/>
              </w:rPr>
              <w:t>。</w:t>
            </w:r>
          </w:p>
          <w:p w14:paraId="5A854DD7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采用窝口插棒方式制作菌棒。</w:t>
            </w:r>
          </w:p>
        </w:tc>
        <w:tc>
          <w:tcPr>
            <w:tcW w:w="2052" w:type="dxa"/>
          </w:tcPr>
          <w:p w14:paraId="47EB4900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2</w:t>
            </w:r>
            <w:r>
              <w:rPr>
                <w:rFonts w:hint="eastAsia" w:ascii="宋体"/>
                <w:color w:val="000000"/>
                <w:sz w:val="24"/>
              </w:rPr>
              <w:t>5</w:t>
            </w:r>
            <w:r>
              <w:rPr>
                <w:rFonts w:ascii="宋体"/>
                <w:color w:val="000000"/>
                <w:sz w:val="24"/>
              </w:rPr>
              <w:t>0000</w:t>
            </w:r>
            <w:r>
              <w:rPr>
                <w:rFonts w:hint="eastAsia" w:ascii="宋体"/>
                <w:color w:val="000000"/>
                <w:sz w:val="24"/>
              </w:rPr>
              <w:t>棒</w:t>
            </w:r>
          </w:p>
        </w:tc>
      </w:tr>
    </w:tbl>
    <w:p w14:paraId="7BC3235C">
      <w:pPr>
        <w:spacing w:line="440" w:lineRule="exact"/>
        <w:ind w:firstLine="562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新宋体-18030" w:eastAsia="新宋体-18030" w:cs="新宋体-18030"/>
          <w:b/>
          <w:bCs/>
          <w:color w:val="000000"/>
          <w:sz w:val="28"/>
          <w:szCs w:val="28"/>
        </w:rPr>
        <w:t>备注：中标方负责</w:t>
      </w:r>
      <w:r>
        <w:rPr>
          <w:rFonts w:hint="eastAsia" w:ascii="新宋体-18030" w:hAnsi="新宋体-18030" w:cs="新宋体-18030"/>
          <w:b/>
          <w:bCs/>
          <w:color w:val="000000"/>
          <w:sz w:val="28"/>
          <w:szCs w:val="28"/>
        </w:rPr>
        <w:t>菌棒运输到购买方指定的出菇基地</w:t>
      </w:r>
      <w:r>
        <w:rPr>
          <w:rFonts w:hint="eastAsia" w:ascii="新宋体-18030" w:eastAsia="新宋体-18030" w:cs="新宋体-18030"/>
          <w:b/>
          <w:bCs/>
          <w:color w:val="000000"/>
          <w:sz w:val="28"/>
          <w:szCs w:val="28"/>
        </w:rPr>
        <w:t>。</w:t>
      </w:r>
    </w:p>
    <w:p w14:paraId="08307431">
      <w:pPr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附件2：投标响应清单报价表</w:t>
      </w:r>
    </w:p>
    <w:tbl>
      <w:tblPr>
        <w:tblStyle w:val="6"/>
        <w:tblpPr w:leftFromText="180" w:rightFromText="180" w:vertAnchor="text" w:horzAnchor="page" w:tblpX="1776" w:tblpY="169"/>
        <w:tblOverlap w:val="never"/>
        <w:tblW w:w="13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990"/>
        <w:gridCol w:w="1461"/>
        <w:gridCol w:w="2962"/>
        <w:gridCol w:w="946"/>
        <w:gridCol w:w="1161"/>
      </w:tblGrid>
      <w:tr w14:paraId="3C89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45E62157">
            <w:pPr>
              <w:spacing w:line="440" w:lineRule="exact"/>
              <w:jc w:val="center"/>
              <w:rPr>
                <w:rFonts w:ascii="宋体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新宋体-18030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5990" w:type="dxa"/>
            <w:vAlign w:val="center"/>
          </w:tcPr>
          <w:p w14:paraId="2899E085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参数</w:t>
            </w:r>
          </w:p>
        </w:tc>
        <w:tc>
          <w:tcPr>
            <w:tcW w:w="1461" w:type="dxa"/>
            <w:vAlign w:val="center"/>
          </w:tcPr>
          <w:p w14:paraId="324726F5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2962" w:type="dxa"/>
            <w:vAlign w:val="center"/>
          </w:tcPr>
          <w:p w14:paraId="6EAE5A45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hAnsi="新宋体-18030" w:cs="新宋体-18030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14:paraId="31C9FE08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hAnsi="新宋体-18030" w:cs="新宋体-18030"/>
                <w:b/>
                <w:bCs/>
                <w:color w:val="000000"/>
                <w:sz w:val="24"/>
              </w:rPr>
              <w:t>总价</w:t>
            </w:r>
          </w:p>
        </w:tc>
        <w:tc>
          <w:tcPr>
            <w:tcW w:w="1161" w:type="dxa"/>
            <w:vAlign w:val="center"/>
          </w:tcPr>
          <w:p w14:paraId="2D234137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备注</w:t>
            </w:r>
          </w:p>
        </w:tc>
      </w:tr>
      <w:tr w14:paraId="42D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05CBBD6D">
            <w:pPr>
              <w:spacing w:line="440" w:lineRule="exact"/>
              <w:jc w:val="center"/>
              <w:rPr>
                <w:rFonts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742EC1E1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0D0D949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72CABCC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7C7889F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CD141F5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6053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7EB1FD35">
            <w:pPr>
              <w:spacing w:line="440" w:lineRule="exact"/>
              <w:jc w:val="center"/>
              <w:rPr>
                <w:rFonts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0D4BDBBC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23969FA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5FA37BE0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DD43B56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1F5087D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0894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608" w:type="dxa"/>
            <w:gridSpan w:val="3"/>
            <w:vAlign w:val="center"/>
          </w:tcPr>
          <w:p w14:paraId="4250A1B1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5069" w:type="dxa"/>
            <w:gridSpan w:val="3"/>
            <w:vAlign w:val="center"/>
          </w:tcPr>
          <w:p w14:paraId="2A57E264">
            <w:pPr>
              <w:spacing w:line="440" w:lineRule="exact"/>
              <w:jc w:val="center"/>
              <w:rPr>
                <w:rFonts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</w:tbl>
    <w:p w14:paraId="4FA42EC8">
      <w:pPr>
        <w:rPr>
          <w:rFonts w:asci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B110B"/>
    <w:multiLevelType w:val="multilevel"/>
    <w:tmpl w:val="575B110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3"/>
    <w:rsid w:val="000E5132"/>
    <w:rsid w:val="003B47AE"/>
    <w:rsid w:val="00416CCB"/>
    <w:rsid w:val="004D524F"/>
    <w:rsid w:val="005F2F30"/>
    <w:rsid w:val="00926BAF"/>
    <w:rsid w:val="00AB7F5A"/>
    <w:rsid w:val="00AD5826"/>
    <w:rsid w:val="00D03D53"/>
    <w:rsid w:val="00E64AA9"/>
    <w:rsid w:val="0D786F20"/>
    <w:rsid w:val="25BB0A6F"/>
    <w:rsid w:val="2E714081"/>
    <w:rsid w:val="3755558A"/>
    <w:rsid w:val="3D534EB2"/>
    <w:rsid w:val="3F1955BD"/>
    <w:rsid w:val="43F263DD"/>
    <w:rsid w:val="4961482E"/>
    <w:rsid w:val="4AE01685"/>
    <w:rsid w:val="5C9205A6"/>
    <w:rsid w:val="6CD226C4"/>
    <w:rsid w:val="73E83206"/>
    <w:rsid w:val="7BF32717"/>
    <w:rsid w:val="7DED4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表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1618</Words>
  <Characters>1714</Characters>
  <Lines>8</Lines>
  <Paragraphs>2</Paragraphs>
  <TotalTime>26</TotalTime>
  <ScaleCrop>false</ScaleCrop>
  <LinksUpToDate>false</LinksUpToDate>
  <CharactersWithSpaces>1716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2025-08-11T05:15:00Z</dcterms:created>
  <dc:creator>冯立健</dc:creator>
  <cp:lastModifiedBy>小翻</cp:lastModifiedBy>
  <cp:lastPrinted>2025-08-18T03:04:00Z</cp:lastPrinted>
  <dcterms:modified xsi:type="dcterms:W3CDTF">2025-09-03T09:24:26Z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eyJoZGlkIjoiNmZiNGUyZDZjZDU1Nzc2YzRkYjU4ZjJiYjI0Yzg3YTYiLCJ1c2VySWQiOiI3MjQ2MjA4MDQifQ==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A12EE78D375242FC9D0530E8263684D5_12</vt:lpwstr>
  </property>
</Properties>
</file>