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29"/>
        <w:gridCol w:w="1234"/>
        <w:gridCol w:w="4649"/>
        <w:gridCol w:w="608"/>
        <w:gridCol w:w="1020"/>
        <w:gridCol w:w="1020"/>
        <w:gridCol w:w="618"/>
        <w:gridCol w:w="1169"/>
        <w:gridCol w:w="1170"/>
        <w:gridCol w:w="1170"/>
      </w:tblGrid>
      <w:tr w14:paraId="7535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铜仁职业技术学院高新区校区楼顶发光字项目采购清单 </w:t>
            </w:r>
          </w:p>
        </w:tc>
      </w:tr>
      <w:tr w14:paraId="1E0D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材料/工艺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长（米）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高（米）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</w:tr>
      <w:tr w14:paraId="1D3D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发光字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1.4镀锌铁板激光切割造型焊接立体字、打磨、喷汽车漆、LED灯珠、电源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0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发光字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1.4镀锌铁板激光切割造型焊接立体字、打磨、喷汽车漆、LED灯珠（多个颜色）、电源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06D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焊接支撑架子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40*80加厚镀锌方管焊接支撑架及拉杆、主架支撑高度离地面6米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C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材料及人工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电线、线管、电箱、空开、交流器、控制器等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E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E2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581C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C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注：1.投标报价包含所有安装费、安全措施费、运输费、吊装费、人工费等，含税包干；</w:t>
            </w:r>
          </w:p>
          <w:p w14:paraId="4C2FFD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4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投标报价还包含安装所需的辅材等</w:t>
            </w:r>
          </w:p>
          <w:p w14:paraId="16BDB4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4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质保期为验收合格之日起一年，期间一切安全质量问题均有中标单位承担。</w:t>
            </w:r>
          </w:p>
        </w:tc>
      </w:tr>
    </w:tbl>
    <w:p w14:paraId="1077D53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937AE"/>
    <w:multiLevelType w:val="singleLevel"/>
    <w:tmpl w:val="6C6937A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mNmMTU4MTMyMWEwNjM2NGQzZGE4ZjFiY2JiY2MifQ=="/>
  </w:docVars>
  <w:rsids>
    <w:rsidRoot w:val="501544EC"/>
    <w:rsid w:val="5015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2024-10-15T07:41:00Z</dcterms:created>
  <dc:creator>邛江丶  小浩</dc:creator>
  <cp:lastModifiedBy>邛江丶  小浩</cp:lastModifiedBy>
  <dcterms:modified xsi:type="dcterms:W3CDTF">2024-10-15T07:41:59Z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CEDCC1DDCDEF4E66A6151C88D88CDD0F_11</vt:lpwstr>
  </property>
</Properties>
</file>