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5318"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附件一</w:t>
      </w:r>
      <w:bookmarkStart w:id="0" w:name="_GoBack"/>
      <w:bookmarkEnd w:id="0"/>
    </w:p>
    <w:p w14:paraId="0E1FC6E5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40"/>
          <w:szCs w:val="32"/>
          <w:lang w:val="en-US" w:eastAsia="zh-CN"/>
        </w:rPr>
        <w:t>铜仁职业技术学院分校区搬迁服务需求内容</w:t>
      </w:r>
    </w:p>
    <w:p w14:paraId="547E8792">
      <w:pPr>
        <w:spacing w:line="288" w:lineRule="auto"/>
        <w:jc w:val="both"/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项目分项报价（报价单以下面表格为准）</w:t>
      </w:r>
    </w:p>
    <w:tbl>
      <w:tblPr>
        <w:tblStyle w:val="5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013"/>
        <w:gridCol w:w="3774"/>
        <w:gridCol w:w="1493"/>
      </w:tblGrid>
      <w:tr w14:paraId="736D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51AA919B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3013" w:type="dxa"/>
            <w:noWrap w:val="0"/>
            <w:vAlign w:val="center"/>
          </w:tcPr>
          <w:p w14:paraId="6861E05A">
            <w:pPr>
              <w:spacing w:after="0" w:line="288" w:lineRule="auto"/>
              <w:ind w:firstLine="560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搬迁起点</w:t>
            </w:r>
          </w:p>
        </w:tc>
        <w:tc>
          <w:tcPr>
            <w:tcW w:w="3774" w:type="dxa"/>
            <w:noWrap w:val="0"/>
            <w:vAlign w:val="center"/>
          </w:tcPr>
          <w:p w14:paraId="14D958C3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搬迁终点</w:t>
            </w:r>
          </w:p>
        </w:tc>
        <w:tc>
          <w:tcPr>
            <w:tcW w:w="1493" w:type="dxa"/>
            <w:noWrap w:val="0"/>
            <w:vAlign w:val="center"/>
          </w:tcPr>
          <w:p w14:paraId="50EC8D34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搬迁费用（元）</w:t>
            </w:r>
          </w:p>
        </w:tc>
      </w:tr>
      <w:tr w14:paraId="2BB6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top"/>
          </w:tcPr>
          <w:p w14:paraId="2C40A9E5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013" w:type="dxa"/>
            <w:vMerge w:val="restart"/>
            <w:noWrap w:val="0"/>
            <w:vAlign w:val="top"/>
          </w:tcPr>
          <w:p w14:paraId="23458465">
            <w:pPr>
              <w:spacing w:after="0" w:line="288" w:lineRule="auto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2430A747">
            <w:pPr>
              <w:spacing w:after="0" w:line="288" w:lineRule="auto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00EFAFE9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铜仁职业技术学院</w:t>
            </w:r>
          </w:p>
        </w:tc>
        <w:tc>
          <w:tcPr>
            <w:tcW w:w="3774" w:type="dxa"/>
            <w:noWrap w:val="0"/>
            <w:vAlign w:val="top"/>
          </w:tcPr>
          <w:p w14:paraId="10647EA6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碧江区中职学校</w:t>
            </w:r>
          </w:p>
        </w:tc>
        <w:tc>
          <w:tcPr>
            <w:tcW w:w="1493" w:type="dxa"/>
            <w:noWrap w:val="0"/>
            <w:vAlign w:val="top"/>
          </w:tcPr>
          <w:p w14:paraId="25FDC66B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462B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top"/>
          </w:tcPr>
          <w:p w14:paraId="0CA2EE63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013" w:type="dxa"/>
            <w:vMerge w:val="continue"/>
            <w:noWrap w:val="0"/>
            <w:vAlign w:val="top"/>
          </w:tcPr>
          <w:p w14:paraId="62A9C927">
            <w:pPr>
              <w:spacing w:after="0" w:line="288" w:lineRule="auto"/>
              <w:ind w:firstLine="280" w:firstLineChars="100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774" w:type="dxa"/>
            <w:noWrap w:val="0"/>
            <w:vAlign w:val="top"/>
          </w:tcPr>
          <w:p w14:paraId="502C658D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贵州健康职院学院</w:t>
            </w:r>
          </w:p>
        </w:tc>
        <w:tc>
          <w:tcPr>
            <w:tcW w:w="1493" w:type="dxa"/>
            <w:noWrap w:val="0"/>
            <w:vAlign w:val="top"/>
          </w:tcPr>
          <w:p w14:paraId="75DE774C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0F77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top"/>
          </w:tcPr>
          <w:p w14:paraId="1293FB06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013" w:type="dxa"/>
            <w:vMerge w:val="continue"/>
            <w:noWrap w:val="0"/>
            <w:vAlign w:val="top"/>
          </w:tcPr>
          <w:p w14:paraId="74633FDE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774" w:type="dxa"/>
            <w:noWrap w:val="0"/>
            <w:vAlign w:val="top"/>
          </w:tcPr>
          <w:p w14:paraId="5000BAF5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梵东校区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（碧江区政府对面）</w:t>
            </w:r>
          </w:p>
        </w:tc>
        <w:tc>
          <w:tcPr>
            <w:tcW w:w="1493" w:type="dxa"/>
            <w:noWrap w:val="0"/>
            <w:vAlign w:val="top"/>
          </w:tcPr>
          <w:p w14:paraId="523BCDBF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013E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top"/>
          </w:tcPr>
          <w:p w14:paraId="373D641B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3013" w:type="dxa"/>
            <w:vMerge w:val="continue"/>
            <w:noWrap w:val="0"/>
            <w:vAlign w:val="top"/>
          </w:tcPr>
          <w:p w14:paraId="138CC3BB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774" w:type="dxa"/>
            <w:noWrap w:val="0"/>
            <w:vAlign w:val="top"/>
          </w:tcPr>
          <w:p w14:paraId="21D46709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梵东校区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（碧江区政府对面）</w:t>
            </w:r>
          </w:p>
        </w:tc>
        <w:tc>
          <w:tcPr>
            <w:tcW w:w="1493" w:type="dxa"/>
            <w:noWrap w:val="0"/>
            <w:vAlign w:val="top"/>
          </w:tcPr>
          <w:p w14:paraId="0FB709B6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2CF7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top"/>
          </w:tcPr>
          <w:p w14:paraId="673E5CD9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3013" w:type="dxa"/>
            <w:vMerge w:val="continue"/>
            <w:noWrap w:val="0"/>
            <w:vAlign w:val="top"/>
          </w:tcPr>
          <w:p w14:paraId="76874AA6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774" w:type="dxa"/>
            <w:noWrap w:val="0"/>
            <w:vAlign w:val="top"/>
          </w:tcPr>
          <w:p w14:paraId="52FE7DFD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梵东校区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（碧江区政府对面）</w:t>
            </w:r>
          </w:p>
        </w:tc>
        <w:tc>
          <w:tcPr>
            <w:tcW w:w="1493" w:type="dxa"/>
            <w:noWrap w:val="0"/>
            <w:vAlign w:val="top"/>
          </w:tcPr>
          <w:p w14:paraId="3D534CFF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621C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0" w:type="dxa"/>
            <w:gridSpan w:val="3"/>
            <w:noWrap w:val="0"/>
            <w:vAlign w:val="top"/>
          </w:tcPr>
          <w:p w14:paraId="61EC8C5F">
            <w:pPr>
              <w:spacing w:after="0"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合计费用（元）</w:t>
            </w:r>
          </w:p>
        </w:tc>
        <w:tc>
          <w:tcPr>
            <w:tcW w:w="1493" w:type="dxa"/>
            <w:noWrap w:val="0"/>
            <w:vAlign w:val="top"/>
          </w:tcPr>
          <w:p w14:paraId="49ED256D">
            <w:pPr>
              <w:spacing w:after="0"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 w14:paraId="4BF548F5">
      <w:pPr>
        <w:spacing w:line="288" w:lineRule="auto"/>
        <w:ind w:firstLine="560" w:firstLineChars="200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主要包括搬运设备费用、运输费用、人工费用等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，含税包干。</w:t>
      </w:r>
    </w:p>
    <w:p w14:paraId="47047EF6">
      <w:pPr>
        <w:numPr>
          <w:ilvl w:val="0"/>
          <w:numId w:val="1"/>
        </w:num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搬迁服务内容</w:t>
      </w:r>
    </w:p>
    <w:tbl>
      <w:tblPr>
        <w:tblStyle w:val="4"/>
        <w:tblW w:w="90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92"/>
        <w:gridCol w:w="5741"/>
      </w:tblGrid>
      <w:tr w14:paraId="6720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D869">
            <w:pPr>
              <w:spacing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搬迁起点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E6CB">
            <w:pPr>
              <w:spacing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搬迁终点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EA70">
            <w:pPr>
              <w:spacing w:line="288" w:lineRule="auto"/>
              <w:ind w:firstLine="560" w:firstLineChars="20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搬迁内容</w:t>
            </w:r>
          </w:p>
        </w:tc>
      </w:tr>
      <w:tr w14:paraId="668F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0DC2">
            <w:pPr>
              <w:spacing w:line="288" w:lineRule="auto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4DE3AC6C">
            <w:pPr>
              <w:spacing w:line="288" w:lineRule="auto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6B887032">
            <w:pPr>
              <w:spacing w:line="288" w:lineRule="auto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34FF61A6">
            <w:pPr>
              <w:spacing w:line="288" w:lineRule="auto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3DCEF196">
            <w:pPr>
              <w:spacing w:line="288" w:lineRule="auto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4655E051">
            <w:pPr>
              <w:spacing w:line="288" w:lineRule="auto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铜仁职业技术学院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6D88">
            <w:pPr>
              <w:spacing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碧江区中职学校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3F07">
            <w:pPr>
              <w:spacing w:line="288" w:lineRule="auto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搬迁实训仪器设备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余项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）、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实训耗材、办公设施设备等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，详细清单见附件二。</w:t>
            </w:r>
          </w:p>
        </w:tc>
      </w:tr>
      <w:tr w14:paraId="75FB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F863">
            <w:pPr>
              <w:spacing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5BF0">
            <w:pPr>
              <w:spacing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贵州健康</w:t>
            </w:r>
          </w:p>
          <w:p w14:paraId="540A587F">
            <w:pPr>
              <w:spacing w:line="288" w:lineRule="auto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职院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8D4D">
            <w:pPr>
              <w:spacing w:line="288" w:lineRule="auto"/>
              <w:jc w:val="both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课桌椅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1000余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套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床位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1000余套（上下床含床板）（有300套床在铜仁职业技术学院老校区）、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储物柜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1900余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个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其他零星物品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教职工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办公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物品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若干等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。</w:t>
            </w:r>
          </w:p>
        </w:tc>
      </w:tr>
      <w:tr w14:paraId="6F38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0DA5">
            <w:pPr>
              <w:spacing w:line="288" w:lineRule="auto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FB71">
            <w:pPr>
              <w:spacing w:line="288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梵东校区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0452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搬迁课桌椅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700余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套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办公桌椅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设备30余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套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其他零星物品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教职工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办公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物品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若干等</w:t>
            </w:r>
          </w:p>
        </w:tc>
      </w:tr>
    </w:tbl>
    <w:p w14:paraId="3F253E05">
      <w:pPr>
        <w:numPr>
          <w:ilvl w:val="0"/>
          <w:numId w:val="0"/>
        </w:num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7ED8DB9">
      <w:p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三、服务内容与要求</w:t>
      </w:r>
    </w:p>
    <w:p w14:paraId="2C5E322D">
      <w:pPr>
        <w:spacing w:line="288" w:lineRule="auto"/>
        <w:jc w:val="both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服务内容主要包括：</w:t>
      </w:r>
    </w:p>
    <w:p w14:paraId="0B11240E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1、对办公设施设备、教学设施设备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学生宿舍设施设备（含学生床）进行拆卸、包装和标记；</w:t>
      </w:r>
    </w:p>
    <w:p w14:paraId="28B80050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2、负责办公设施设备、教学设施设备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学生宿舍设施设备（含学生床）的运输，确保设备在运输过程中的安全；</w:t>
      </w:r>
    </w:p>
    <w:p w14:paraId="41C58D22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3、进行办公、教学设施设备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学生宿舍设施设备（含学生床）的安装、调试和恢复；</w:t>
      </w:r>
    </w:p>
    <w:p w14:paraId="66EDD88F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4、协助教职工搬迁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办公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物品，确保搬迁过程的安全和顺利。</w:t>
      </w:r>
    </w:p>
    <w:p w14:paraId="61D3D5D4">
      <w:pPr>
        <w:spacing w:line="288" w:lineRule="auto"/>
        <w:jc w:val="both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服务要求：</w:t>
      </w:r>
    </w:p>
    <w:p w14:paraId="418D5754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1、中标单位需按照合同约定的时间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在合同签订后8日内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完成搬迁工作；</w:t>
      </w:r>
    </w:p>
    <w:p w14:paraId="238A8843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2、在搬迁过程中，不影响学校的正常运行；</w:t>
      </w:r>
    </w:p>
    <w:p w14:paraId="0425A9B2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3、提供详细的搬迁进度报告，确保双方对搬迁情况有清晰的了解；</w:t>
      </w:r>
    </w:p>
    <w:p w14:paraId="7C220610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4、搬迁结束后，需对现场进行清理和整理，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垃圾进行清运，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确保办公环境整洁有序。</w:t>
      </w:r>
    </w:p>
    <w:p w14:paraId="5910FAEF">
      <w:p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四、搬迁时间要求</w:t>
      </w:r>
    </w:p>
    <w:p w14:paraId="634C1A4C">
      <w:pPr>
        <w:spacing w:line="288" w:lineRule="auto"/>
        <w:jc w:val="both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本次搬迁工作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时间要求不超过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8天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（在方案中必须明确）。</w:t>
      </w:r>
    </w:p>
    <w:p w14:paraId="245EF4AC">
      <w:p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五、风险评估</w:t>
      </w:r>
    </w:p>
    <w:p w14:paraId="1BB5A4CA">
      <w:pPr>
        <w:spacing w:line="288" w:lineRule="auto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在搬迁过程中，以下风险责任均由中标单位承担：</w:t>
      </w:r>
    </w:p>
    <w:p w14:paraId="371CF5FF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设备损坏风险：在拆卸、运输和安装过程中，设备可能受到损坏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，损坏设备由中标方照价赔偿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；</w:t>
      </w:r>
    </w:p>
    <w:p w14:paraId="11FD81EF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工作中断风险：搬迁可能导致学校部分二级学院工作暂时中断，影响工作正常开展；</w:t>
      </w:r>
    </w:p>
    <w:p w14:paraId="2AD5CE70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安全风险：在搬运过程中，可能存在人员伤害或物品丢失的风险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，均由中标方承担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 w14:paraId="5E12D17C">
      <w:pPr>
        <w:spacing w:line="288" w:lineRule="auto"/>
        <w:jc w:val="both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六、监督与验收</w:t>
      </w:r>
    </w:p>
    <w:p w14:paraId="65C8DFF8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为确保搬迁服务的质量和效果，将建立安全监督与验收机制：</w:t>
      </w:r>
    </w:p>
    <w:p w14:paraId="52A345D7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设立搬迁项目监督小组，对搬迁过程进行全程监督；</w:t>
      </w:r>
    </w:p>
    <w:p w14:paraId="6E23B32D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在搬迁过程中，定期对服务商的工作进度和服务质量进行检查；</w:t>
      </w:r>
    </w:p>
    <w:p w14:paraId="0C1DA27E">
      <w:pPr>
        <w:spacing w:line="288" w:lineRule="auto"/>
        <w:ind w:firstLine="56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在搬迁结束后，组织相关人员进行验收，确保设备、环境和业务的正常恢复。</w:t>
      </w:r>
    </w:p>
    <w:p w14:paraId="51DA4E67">
      <w:pPr>
        <w:spacing w:line="288" w:lineRule="auto"/>
        <w:ind w:firstLine="560" w:firstLineChars="200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5、验收合格按合同履约支付服务费用。</w:t>
      </w:r>
    </w:p>
    <w:p w14:paraId="1D9CB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587EE"/>
    <w:multiLevelType w:val="singleLevel"/>
    <w:tmpl w:val="F53587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4E610E3B"/>
    <w:rsid w:val="020652DF"/>
    <w:rsid w:val="11F74A4E"/>
    <w:rsid w:val="28C439F7"/>
    <w:rsid w:val="364B1CBB"/>
    <w:rsid w:val="4E610E3B"/>
    <w:rsid w:val="534106C1"/>
    <w:rsid w:val="6AC2350B"/>
    <w:rsid w:val="7D9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1276</Characters>
  <Lines>0</Lines>
  <Paragraphs>0</Paragraphs>
  <TotalTime>23</TotalTime>
  <ScaleCrop>false</ScaleCrop>
  <LinksUpToDate>false</LinksUpToDate>
  <CharactersWithSpaces>1276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2024-07-24T09:25:00Z</dcterms:created>
  <dc:creator>邛江丶  小浩</dc:creator>
  <cp:lastModifiedBy>邛江丶  小浩</cp:lastModifiedBy>
  <dcterms:modified xsi:type="dcterms:W3CDTF">2024-07-24T11:36:31Z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3B4F34C220B44C14B8BA4AB5F13C0F93_11</vt:lpwstr>
  </property>
</Properties>
</file>