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20" w:right="-197" w:rightChars="-94" w:hanging="720"/>
        <w:jc w:val="center"/>
        <w:rPr>
          <w:rFonts w:ascii="宋体" w:hAnsi="宋体" w:cs="Calibri"/>
          <w:b/>
          <w:bCs/>
          <w:color w:val="000000"/>
          <w:sz w:val="36"/>
          <w:szCs w:val="36"/>
        </w:rPr>
      </w:pPr>
      <w:r>
        <w:rPr>
          <w:rFonts w:hint="eastAsia" w:ascii="宋体" w:hAnsi="宋体" w:cs="Calibri"/>
          <w:b/>
          <w:bCs/>
          <w:color w:val="000000"/>
          <w:sz w:val="36"/>
          <w:szCs w:val="36"/>
        </w:rPr>
        <w:t>铜仁职业技术学院2024年教师教学能力比赛</w:t>
      </w:r>
      <w:r>
        <w:rPr>
          <w:rFonts w:hint="eastAsia" w:ascii="宋体" w:hAnsi="宋体" w:cs="Calibri"/>
          <w:b/>
          <w:bCs/>
          <w:color w:val="000000"/>
          <w:sz w:val="36"/>
          <w:szCs w:val="36"/>
          <w:lang w:val="en-US" w:eastAsia="zh-CN"/>
        </w:rPr>
        <w:t>作品</w:t>
      </w:r>
      <w:r>
        <w:rPr>
          <w:rFonts w:hint="eastAsia" w:ascii="宋体" w:hAnsi="宋体" w:cs="Calibri"/>
          <w:b/>
          <w:bCs/>
          <w:color w:val="000000"/>
          <w:sz w:val="36"/>
          <w:szCs w:val="36"/>
        </w:rPr>
        <w:t>视频拍摄服务招标方案</w:t>
      </w:r>
    </w:p>
    <w:p>
      <w:pPr>
        <w:spacing w:line="360" w:lineRule="auto"/>
        <w:ind w:left="720" w:right="-197" w:rightChars="-94" w:hanging="720"/>
        <w:jc w:val="center"/>
        <w:rPr>
          <w:rFonts w:ascii="宋体" w:hAnsi="宋体" w:cs="Calibri"/>
          <w:b/>
          <w:bCs/>
          <w:color w:val="000000"/>
          <w:sz w:val="32"/>
          <w:szCs w:val="32"/>
        </w:rPr>
      </w:pPr>
    </w:p>
    <w:p>
      <w:pPr>
        <w:pStyle w:val="33"/>
        <w:numPr>
          <w:ilvl w:val="0"/>
          <w:numId w:val="1"/>
        </w:numPr>
        <w:spacing w:line="360" w:lineRule="auto"/>
        <w:ind w:right="-197" w:rightChars="-94"/>
        <w:rPr>
          <w:rFonts w:ascii="宋体" w:hAnsi="宋体" w:cs="Calibri"/>
          <w:color w:val="000000"/>
          <w:sz w:val="28"/>
          <w:szCs w:val="28"/>
        </w:rPr>
      </w:pPr>
      <w:r>
        <w:rPr>
          <w:rFonts w:hint="eastAsia" w:ascii="宋体" w:hAnsi="宋体" w:cs="Calibri"/>
          <w:b/>
          <w:bCs/>
          <w:color w:val="000000"/>
          <w:sz w:val="32"/>
          <w:szCs w:val="32"/>
        </w:rPr>
        <w:t>项目名称：</w:t>
      </w:r>
      <w:r>
        <w:rPr>
          <w:rFonts w:hint="eastAsia" w:ascii="宋体" w:hAnsi="宋体" w:cs="Calibri"/>
          <w:sz w:val="28"/>
          <w:szCs w:val="28"/>
        </w:rPr>
        <w:t>铜仁职业技术学院2024年教师教学能力比赛</w:t>
      </w:r>
      <w:r>
        <w:rPr>
          <w:rFonts w:hint="eastAsia" w:ascii="宋体" w:hAnsi="宋体" w:cs="Calibri"/>
          <w:sz w:val="28"/>
          <w:szCs w:val="28"/>
          <w:lang w:val="en-US" w:eastAsia="zh-CN"/>
        </w:rPr>
        <w:t>作品</w:t>
      </w:r>
      <w:r>
        <w:rPr>
          <w:rFonts w:hint="eastAsia" w:ascii="宋体" w:hAnsi="宋体" w:cs="Calibri"/>
          <w:sz w:val="28"/>
          <w:szCs w:val="28"/>
        </w:rPr>
        <w:t>视频拍摄服务</w:t>
      </w:r>
      <w:r>
        <w:rPr>
          <w:rFonts w:hint="eastAsia" w:ascii="宋体" w:hAnsi="宋体" w:cs="Calibri"/>
          <w:sz w:val="28"/>
          <w:szCs w:val="28"/>
          <w:lang w:val="en-US" w:eastAsia="zh-CN"/>
        </w:rPr>
        <w:t>采购项目</w:t>
      </w:r>
    </w:p>
    <w:p>
      <w:pPr>
        <w:spacing w:line="360" w:lineRule="auto"/>
        <w:ind w:right="-197" w:rightChars="-94"/>
        <w:rPr>
          <w:rFonts w:ascii="宋体" w:hAnsi="宋体" w:cs="Calibri"/>
          <w:b/>
          <w:bCs/>
          <w:sz w:val="32"/>
          <w:szCs w:val="32"/>
        </w:rPr>
      </w:pPr>
      <w:r>
        <w:rPr>
          <w:rFonts w:hint="eastAsia" w:ascii="宋体" w:hAnsi="宋体" w:cs="Calibri"/>
          <w:b/>
          <w:bCs/>
          <w:sz w:val="32"/>
          <w:szCs w:val="32"/>
        </w:rPr>
        <w:t>二、项目预算及要求</w:t>
      </w:r>
    </w:p>
    <w:p>
      <w:pPr>
        <w:spacing w:line="360" w:lineRule="auto"/>
        <w:ind w:right="-197" w:rightChars="-94" w:firstLine="840" w:firstLineChars="300"/>
        <w:rPr>
          <w:rFonts w:ascii="宋体" w:hAnsi="宋体" w:cs="Calibri"/>
          <w:sz w:val="28"/>
          <w:szCs w:val="28"/>
        </w:rPr>
      </w:pPr>
      <w:r>
        <w:rPr>
          <w:rFonts w:hint="eastAsia" w:ascii="宋体" w:hAnsi="宋体" w:cs="Calibri"/>
          <w:sz w:val="28"/>
          <w:szCs w:val="28"/>
        </w:rPr>
        <w:t>高职5支团队作品拍摄服务费每支团队2万元以内（不含本数），项目总经费</w:t>
      </w:r>
      <w:r>
        <w:rPr>
          <w:rFonts w:hint="eastAsia" w:ascii="宋体" w:hAnsi="宋体" w:cs="Calibri"/>
          <w:sz w:val="28"/>
          <w:szCs w:val="28"/>
          <w:lang w:eastAsia="zh-CN"/>
        </w:rPr>
        <w:t>（</w:t>
      </w:r>
      <w:r>
        <w:rPr>
          <w:rFonts w:hint="eastAsia" w:ascii="宋体" w:hAnsi="宋体" w:cs="Calibri"/>
          <w:sz w:val="28"/>
          <w:szCs w:val="28"/>
          <w:lang w:val="en-US" w:eastAsia="zh-CN"/>
        </w:rPr>
        <w:t>最高限价</w:t>
      </w:r>
      <w:r>
        <w:rPr>
          <w:rFonts w:hint="eastAsia" w:ascii="宋体" w:hAnsi="宋体" w:cs="Calibri"/>
          <w:sz w:val="28"/>
          <w:szCs w:val="28"/>
          <w:lang w:eastAsia="zh-CN"/>
        </w:rPr>
        <w:t>）：</w:t>
      </w:r>
      <w:r>
        <w:rPr>
          <w:rFonts w:hint="eastAsia" w:ascii="宋体" w:hAnsi="宋体" w:cs="Calibri"/>
          <w:sz w:val="28"/>
          <w:szCs w:val="28"/>
        </w:rPr>
        <w:t>控制在人民币10万元以内（不含本数）。</w:t>
      </w:r>
    </w:p>
    <w:p>
      <w:pPr>
        <w:spacing w:line="360" w:lineRule="auto"/>
        <w:ind w:right="-197" w:rightChars="-94"/>
        <w:rPr>
          <w:rFonts w:ascii="宋体" w:hAnsi="宋体" w:cs="Calibri"/>
          <w:sz w:val="28"/>
          <w:szCs w:val="28"/>
        </w:rPr>
      </w:pPr>
      <w:r>
        <w:rPr>
          <w:rFonts w:hint="eastAsia" w:ascii="宋体" w:hAnsi="宋体" w:cs="Calibri"/>
          <w:b/>
          <w:bCs/>
          <w:sz w:val="32"/>
          <w:szCs w:val="32"/>
        </w:rPr>
        <w:t>三、具体服务需求参数</w:t>
      </w:r>
    </w:p>
    <w:p>
      <w:pPr>
        <w:spacing w:line="360" w:lineRule="auto"/>
        <w:ind w:left="720" w:right="-197" w:rightChars="-94"/>
        <w:rPr>
          <w:rFonts w:ascii="宋体" w:hAnsi="宋体" w:cs="Calibri"/>
          <w:sz w:val="28"/>
          <w:szCs w:val="28"/>
        </w:rPr>
      </w:pPr>
      <w:r>
        <w:rPr>
          <w:rFonts w:hint="eastAsia" w:ascii="宋体" w:hAnsi="宋体" w:cs="Calibri"/>
          <w:sz w:val="28"/>
          <w:szCs w:val="28"/>
        </w:rPr>
        <w:t>服务商能在规定时间内高质量完成对铜仁职业技术学院5支团队参加2024年贵州省教师教学能力大赛视频的拍摄。</w:t>
      </w:r>
    </w:p>
    <w:tbl>
      <w:tblPr>
        <w:tblStyle w:val="17"/>
        <w:tblW w:w="835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882"/>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spacing w:line="360" w:lineRule="auto"/>
              <w:jc w:val="center"/>
              <w:rPr>
                <w:rFonts w:ascii="宋体" w:hAnsi="宋体" w:cs="楷体_GB2312"/>
                <w:sz w:val="24"/>
              </w:rPr>
            </w:pPr>
            <w:r>
              <w:rPr>
                <w:rFonts w:hint="eastAsia" w:ascii="宋体" w:hAnsi="宋体" w:cs="楷体_GB2312"/>
                <w:sz w:val="24"/>
              </w:rPr>
              <w:t>序号</w:t>
            </w:r>
          </w:p>
        </w:tc>
        <w:tc>
          <w:tcPr>
            <w:tcW w:w="882" w:type="dxa"/>
          </w:tcPr>
          <w:p>
            <w:pPr>
              <w:spacing w:line="360" w:lineRule="auto"/>
              <w:jc w:val="center"/>
              <w:rPr>
                <w:rFonts w:ascii="宋体" w:hAnsi="宋体" w:cs="楷体_GB2312"/>
                <w:sz w:val="24"/>
              </w:rPr>
            </w:pPr>
            <w:r>
              <w:rPr>
                <w:rFonts w:hint="eastAsia" w:ascii="宋体" w:hAnsi="宋体" w:cs="楷体_GB2312"/>
                <w:sz w:val="24"/>
              </w:rPr>
              <w:t>名称</w:t>
            </w:r>
          </w:p>
        </w:tc>
        <w:tc>
          <w:tcPr>
            <w:tcW w:w="6779" w:type="dxa"/>
          </w:tcPr>
          <w:p>
            <w:pPr>
              <w:spacing w:line="360" w:lineRule="auto"/>
              <w:jc w:val="center"/>
              <w:rPr>
                <w:rFonts w:ascii="宋体" w:hAnsi="宋体" w:cs="楷体_GB2312"/>
                <w:sz w:val="24"/>
              </w:rPr>
            </w:pPr>
            <w:r>
              <w:rPr>
                <w:rFonts w:hint="eastAsia" w:ascii="宋体" w:hAnsi="宋体" w:cs="楷体_GB2312"/>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spacing w:line="360" w:lineRule="auto"/>
              <w:jc w:val="center"/>
              <w:rPr>
                <w:rFonts w:ascii="宋体" w:hAnsi="宋体" w:cs="楷体_GB2312"/>
                <w:sz w:val="24"/>
              </w:rPr>
            </w:pPr>
            <w:r>
              <w:rPr>
                <w:rFonts w:hint="eastAsia" w:ascii="宋体" w:hAnsi="宋体" w:cs="楷体_GB2312"/>
                <w:sz w:val="24"/>
              </w:rPr>
              <w:t>一</w:t>
            </w:r>
          </w:p>
        </w:tc>
        <w:tc>
          <w:tcPr>
            <w:tcW w:w="882" w:type="dxa"/>
          </w:tcPr>
          <w:p>
            <w:pPr>
              <w:pStyle w:val="15"/>
              <w:spacing w:before="0" w:beforeAutospacing="0" w:after="0" w:afterAutospacing="0" w:line="360" w:lineRule="auto"/>
              <w:jc w:val="center"/>
              <w:rPr>
                <w:rFonts w:cs="Calibri"/>
                <w:color w:val="000000"/>
              </w:rPr>
            </w:pPr>
            <w:r>
              <w:rPr>
                <w:rFonts w:hint="eastAsia" w:cs="楷体_GB2312"/>
              </w:rPr>
              <w:t>专业服务经验</w:t>
            </w:r>
          </w:p>
        </w:tc>
        <w:tc>
          <w:tcPr>
            <w:tcW w:w="6779" w:type="dxa"/>
          </w:tcPr>
          <w:p>
            <w:pPr>
              <w:rPr>
                <w:rFonts w:ascii="宋体" w:hAnsi="宋体" w:cs="Calibri"/>
                <w:color w:val="000000"/>
                <w:kern w:val="0"/>
                <w:sz w:val="24"/>
              </w:rPr>
            </w:pPr>
            <w:r>
              <w:rPr>
                <w:rFonts w:hint="eastAsia" w:ascii="宋体" w:hAnsi="宋体" w:cs="Calibri"/>
                <w:color w:val="000000"/>
                <w:kern w:val="0"/>
                <w:sz w:val="24"/>
              </w:rPr>
              <w:t>一、为满足大赛的信息化教学要求，提供更好的支撑服务，拍摄过程中服务商需要参与课堂教学实录的交流，技术服务人员应懂教学规律，所提供平台需能支撑混合式教学且需满足以下基本要求,保障参赛视频录制顺利开展：</w:t>
            </w:r>
          </w:p>
          <w:p>
            <w:pPr>
              <w:rPr>
                <w:rFonts w:ascii="宋体" w:hAnsi="宋体" w:cs="Calibri"/>
                <w:color w:val="000000"/>
                <w:kern w:val="0"/>
                <w:sz w:val="24"/>
              </w:rPr>
            </w:pPr>
            <w:r>
              <w:rPr>
                <w:rFonts w:hint="eastAsia" w:ascii="宋体" w:hAnsi="宋体" w:cs="Calibri"/>
                <w:color w:val="000000"/>
                <w:kern w:val="0"/>
                <w:sz w:val="24"/>
              </w:rPr>
              <w:t>（一）过程与方法</w:t>
            </w:r>
          </w:p>
          <w:p>
            <w:pPr>
              <w:rPr>
                <w:rFonts w:ascii="宋体" w:hAnsi="宋体" w:cs="Calibri"/>
                <w:color w:val="000000"/>
                <w:kern w:val="0"/>
                <w:sz w:val="24"/>
              </w:rPr>
            </w:pPr>
            <w:r>
              <w:rPr>
                <w:rFonts w:hint="eastAsia" w:ascii="宋体" w:hAnsi="宋体" w:cs="Calibri"/>
                <w:color w:val="000000"/>
                <w:kern w:val="0"/>
                <w:sz w:val="24"/>
              </w:rPr>
              <w:t>1.可在移动端上组织教学内容，有序安排资料推送、签到、问答、抢答、投票等教学活动，可实现互动内容课堂发放并复用。</w:t>
            </w:r>
          </w:p>
          <w:p>
            <w:pPr>
              <w:rPr>
                <w:rFonts w:ascii="宋体" w:hAnsi="宋体" w:cs="Calibri"/>
                <w:color w:val="000000"/>
                <w:kern w:val="0"/>
                <w:sz w:val="24"/>
              </w:rPr>
            </w:pPr>
            <w:r>
              <w:rPr>
                <w:rFonts w:hint="eastAsia" w:ascii="宋体" w:hAnsi="宋体" w:cs="Calibri"/>
                <w:color w:val="000000"/>
                <w:kern w:val="0"/>
                <w:sz w:val="24"/>
              </w:rPr>
              <w:t>2.支持教师移动端发起与远程企业教师直播、教师ppt直播、腾讯会议。</w:t>
            </w:r>
          </w:p>
          <w:p>
            <w:pPr>
              <w:rPr>
                <w:rFonts w:ascii="宋体" w:hAnsi="宋体" w:cs="Calibri"/>
                <w:color w:val="000000"/>
                <w:kern w:val="0"/>
                <w:sz w:val="24"/>
              </w:rPr>
            </w:pPr>
            <w:r>
              <w:rPr>
                <w:rFonts w:hint="eastAsia" w:ascii="宋体" w:hAnsi="宋体" w:cs="Calibri"/>
                <w:color w:val="000000"/>
                <w:kern w:val="0"/>
                <w:sz w:val="24"/>
              </w:rPr>
              <w:t>3.教师可在软件上编辑问答题并可将题目发布到学生端，学生可以回答问题并提交，教师可以实时查看学生提交结果，并将结果实时投放到大屏。</w:t>
            </w:r>
          </w:p>
          <w:p>
            <w:pPr>
              <w:rPr>
                <w:rFonts w:ascii="宋体" w:hAnsi="宋体" w:cs="Calibri"/>
                <w:color w:val="000000"/>
                <w:kern w:val="0"/>
                <w:sz w:val="24"/>
              </w:rPr>
            </w:pPr>
            <w:r>
              <w:rPr>
                <w:rFonts w:hint="eastAsia" w:ascii="宋体" w:hAnsi="宋体" w:cs="Calibri"/>
                <w:color w:val="000000"/>
                <w:kern w:val="0"/>
                <w:sz w:val="24"/>
              </w:rPr>
              <w:t>（二）内容与资源：</w:t>
            </w:r>
          </w:p>
          <w:p>
            <w:pPr>
              <w:rPr>
                <w:rFonts w:ascii="宋体" w:hAnsi="宋体" w:cs="Calibri"/>
                <w:color w:val="000000"/>
                <w:kern w:val="0"/>
                <w:sz w:val="24"/>
              </w:rPr>
            </w:pPr>
            <w:r>
              <w:rPr>
                <w:rFonts w:hint="eastAsia" w:ascii="宋体" w:hAnsi="宋体" w:cs="Calibri"/>
                <w:color w:val="000000"/>
                <w:kern w:val="0"/>
                <w:sz w:val="24"/>
              </w:rPr>
              <w:t>教与学活动中使用各类教学平台、资源、工具。</w:t>
            </w:r>
          </w:p>
          <w:p>
            <w:pPr>
              <w:rPr>
                <w:rFonts w:ascii="宋体" w:hAnsi="宋体" w:cs="Calibri"/>
                <w:color w:val="000000"/>
                <w:kern w:val="0"/>
                <w:sz w:val="24"/>
              </w:rPr>
            </w:pPr>
            <w:r>
              <w:rPr>
                <w:rFonts w:hint="eastAsia" w:ascii="宋体" w:hAnsi="宋体" w:cs="Calibri"/>
                <w:color w:val="000000"/>
                <w:kern w:val="0"/>
                <w:sz w:val="24"/>
              </w:rPr>
              <w:t>1.课程平台应具有完善的学习流程管理功能，支持整个课程创建、内容共享、学习过程跟踪和控制、实现在线视频播放、测试和作业发布、交流互动、成绩评测、讨论答疑、作业、考试、评估等学习成果反馈教学流程，实现信息技术与教学过程的深度融合。</w:t>
            </w:r>
          </w:p>
          <w:p>
            <w:pPr>
              <w:rPr>
                <w:rFonts w:ascii="宋体" w:hAnsi="宋体" w:cs="Calibri"/>
                <w:color w:val="000000"/>
                <w:kern w:val="0"/>
                <w:sz w:val="24"/>
              </w:rPr>
            </w:pPr>
            <w:r>
              <w:rPr>
                <w:rFonts w:hint="eastAsia" w:ascii="宋体" w:hAnsi="宋体" w:cs="Calibri"/>
                <w:color w:val="000000"/>
                <w:kern w:val="0"/>
                <w:sz w:val="24"/>
              </w:rPr>
              <w:t>2.平台可根据参赛教师的专业大类，提供不低于5000册电子图书，教师、学生可以将所有感兴趣的内容订阅到自己的空间进行使用；可提供20种以上的期刊、专题等网络阅读必要支撑素材，教师、学生可以将所有感兴趣的内容订阅到自己的空间；可以对所有精彩的内容在课堂上进行分享。</w:t>
            </w:r>
          </w:p>
          <w:p>
            <w:pPr>
              <w:rPr>
                <w:rFonts w:ascii="宋体" w:hAnsi="宋体" w:cs="Calibri"/>
                <w:color w:val="000000"/>
                <w:kern w:val="0"/>
                <w:sz w:val="24"/>
              </w:rPr>
            </w:pPr>
            <w:r>
              <w:rPr>
                <w:rFonts w:hint="eastAsia" w:ascii="宋体" w:hAnsi="宋体" w:cs="Calibri"/>
                <w:color w:val="000000"/>
                <w:kern w:val="0"/>
                <w:sz w:val="24"/>
              </w:rPr>
              <w:t>（三）多元化评价</w:t>
            </w:r>
          </w:p>
          <w:p>
            <w:pPr>
              <w:rPr>
                <w:rFonts w:ascii="宋体" w:hAnsi="宋体" w:cs="Calibri"/>
                <w:color w:val="000000"/>
                <w:kern w:val="0"/>
                <w:sz w:val="24"/>
              </w:rPr>
            </w:pPr>
            <w:r>
              <w:rPr>
                <w:rFonts w:hint="eastAsia" w:ascii="宋体" w:hAnsi="宋体" w:cs="Calibri"/>
                <w:color w:val="000000"/>
                <w:kern w:val="0"/>
                <w:sz w:val="24"/>
              </w:rPr>
              <w:t>支持过程评价和结果考核相结合、实操技能达标相结合。</w:t>
            </w:r>
          </w:p>
          <w:p>
            <w:pPr>
              <w:rPr>
                <w:rFonts w:ascii="宋体" w:hAnsi="宋体" w:cs="Calibri"/>
                <w:color w:val="000000"/>
                <w:kern w:val="0"/>
                <w:sz w:val="24"/>
              </w:rPr>
            </w:pPr>
            <w:r>
              <w:rPr>
                <w:rFonts w:hint="eastAsia" w:ascii="宋体" w:hAnsi="宋体" w:cs="Calibri"/>
                <w:color w:val="000000"/>
                <w:kern w:val="0"/>
                <w:sz w:val="24"/>
              </w:rPr>
              <w:t>1.日常考核成绩:由考勤、课堂互动表现、课件学习、课后测评、作业等教学数据平台综合表现组成,</w:t>
            </w:r>
          </w:p>
          <w:p>
            <w:pPr>
              <w:pStyle w:val="15"/>
              <w:spacing w:before="0" w:beforeAutospacing="0" w:after="0" w:afterAutospacing="0" w:line="360" w:lineRule="auto"/>
              <w:rPr>
                <w:rFonts w:cs="Calibri"/>
                <w:color w:val="000000"/>
              </w:rPr>
            </w:pPr>
            <w:r>
              <w:rPr>
                <w:rFonts w:hint="eastAsia" w:cs="Calibri"/>
                <w:color w:val="000000"/>
              </w:rPr>
              <w:t>2.实操技能考核可支持通过对学生作业情景布置，将企业新标准、新规范融入到技能考核,根据学生完成情况及职业素养进行考核；也可支持教师通过线下导入的方式录入考核成绩。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spacing w:line="360" w:lineRule="auto"/>
              <w:jc w:val="center"/>
              <w:rPr>
                <w:rFonts w:ascii="宋体" w:hAnsi="宋体" w:cs="楷体_GB2312"/>
                <w:sz w:val="24"/>
              </w:rPr>
            </w:pPr>
            <w:r>
              <w:rPr>
                <w:rFonts w:hint="eastAsia" w:ascii="宋体" w:hAnsi="宋体" w:cs="楷体_GB2312"/>
                <w:sz w:val="24"/>
              </w:rPr>
              <w:t>二</w:t>
            </w:r>
          </w:p>
        </w:tc>
        <w:tc>
          <w:tcPr>
            <w:tcW w:w="882" w:type="dxa"/>
          </w:tcPr>
          <w:p>
            <w:pPr>
              <w:pStyle w:val="15"/>
              <w:spacing w:before="0" w:beforeAutospacing="0" w:after="0" w:afterAutospacing="0" w:line="360" w:lineRule="auto"/>
              <w:jc w:val="center"/>
              <w:rPr>
                <w:rFonts w:cs="Calibri"/>
                <w:color w:val="000000"/>
              </w:rPr>
            </w:pPr>
            <w:r>
              <w:rPr>
                <w:rFonts w:hint="eastAsia" w:cs="Calibri"/>
                <w:color w:val="000000"/>
              </w:rPr>
              <w:t>参赛视频录制</w:t>
            </w:r>
          </w:p>
        </w:tc>
        <w:tc>
          <w:tcPr>
            <w:tcW w:w="6779" w:type="dxa"/>
          </w:tcPr>
          <w:p>
            <w:pPr>
              <w:pStyle w:val="15"/>
              <w:spacing w:before="0" w:beforeAutospacing="0" w:after="0" w:afterAutospacing="0" w:line="360" w:lineRule="auto"/>
            </w:pPr>
            <w:r>
              <w:rPr>
                <w:rFonts w:hint="eastAsia" w:cs="Calibri"/>
                <w:color w:val="000000"/>
              </w:rPr>
              <w:t>所有视频文件需按照</w:t>
            </w:r>
            <w:r>
              <w:rPr>
                <w:rFonts w:hint="eastAsia" w:cs="Calibri"/>
              </w:rPr>
              <w:t>2024年贵州省职业院校</w:t>
            </w:r>
            <w:r>
              <w:rPr>
                <w:rFonts w:hint="eastAsia" w:cs="Calibri"/>
                <w:color w:val="000000"/>
              </w:rPr>
              <w:t>技能大赛教师教学能力比赛文件提交要求标准执行。</w:t>
            </w:r>
          </w:p>
          <w:p>
            <w:pPr>
              <w:pStyle w:val="15"/>
              <w:spacing w:before="0" w:beforeAutospacing="0" w:after="0" w:afterAutospacing="0" w:line="360" w:lineRule="auto"/>
            </w:pPr>
            <w:r>
              <w:rPr>
                <w:rFonts w:hint="eastAsia" w:cs="Calibri"/>
                <w:color w:val="000000"/>
              </w:rPr>
              <w:t>1.教学视频拍摄要求</w:t>
            </w:r>
          </w:p>
          <w:p>
            <w:pPr>
              <w:pStyle w:val="15"/>
              <w:spacing w:before="0" w:beforeAutospacing="0" w:after="0" w:afterAutospacing="0" w:line="360" w:lineRule="auto"/>
            </w:pPr>
            <w:r>
              <w:rPr>
                <w:rFonts w:hint="eastAsia" w:cs="Calibri"/>
                <w:color w:val="000000"/>
              </w:rPr>
              <w:t>（1）视频可自行选择教学场景，应分别完整、清晰地呈现参赛作品中内容相对独立完整、课程属性特质鲜明、反映团队成员教学风格的教学活动实况。</w:t>
            </w:r>
          </w:p>
          <w:p>
            <w:pPr>
              <w:pStyle w:val="15"/>
              <w:spacing w:before="0" w:beforeAutospacing="0" w:after="0" w:afterAutospacing="0" w:line="360" w:lineRule="auto"/>
            </w:pPr>
            <w:r>
              <w:rPr>
                <w:rFonts w:hint="eastAsia" w:cs="Calibri"/>
                <w:color w:val="000000"/>
              </w:rPr>
              <w:t>（2）视频材料中不得透露参赛个人、学校或地区的相关信息。</w:t>
            </w:r>
          </w:p>
          <w:p>
            <w:pPr>
              <w:pStyle w:val="15"/>
              <w:spacing w:before="0" w:beforeAutospacing="0" w:after="0" w:afterAutospacing="0" w:line="360" w:lineRule="auto"/>
            </w:pPr>
            <w:r>
              <w:rPr>
                <w:rFonts w:hint="eastAsia" w:cs="Calibri"/>
                <w:color w:val="000000"/>
              </w:rPr>
              <w:t>（3）每组现场拍摄时长不少于两天。</w:t>
            </w:r>
          </w:p>
          <w:p>
            <w:pPr>
              <w:pStyle w:val="15"/>
              <w:spacing w:before="0" w:beforeAutospacing="0" w:after="0" w:afterAutospacing="0" w:line="360" w:lineRule="auto"/>
            </w:pPr>
            <w:r>
              <w:rPr>
                <w:rFonts w:hint="eastAsia" w:cs="Calibri"/>
                <w:color w:val="000000"/>
              </w:rPr>
              <w:t>2.录制要求</w:t>
            </w:r>
          </w:p>
          <w:p>
            <w:pPr>
              <w:pStyle w:val="15"/>
              <w:spacing w:line="360" w:lineRule="auto"/>
              <w:rPr>
                <w:rFonts w:cs="Calibri"/>
                <w:color w:val="000000"/>
              </w:rPr>
            </w:pPr>
            <w:r>
              <w:rPr>
                <w:rFonts w:hint="eastAsia" w:cs="Calibri"/>
                <w:color w:val="000000"/>
              </w:rPr>
              <w:t>（1）资料收集与准备</w:t>
            </w:r>
          </w:p>
          <w:p>
            <w:pPr>
              <w:pStyle w:val="15"/>
              <w:spacing w:line="360" w:lineRule="auto"/>
              <w:rPr>
                <w:rFonts w:cs="Calibri"/>
                <w:color w:val="000000"/>
              </w:rPr>
            </w:pPr>
            <w:r>
              <w:rPr>
                <w:rFonts w:hint="eastAsia" w:cs="Calibri"/>
                <w:color w:val="000000"/>
              </w:rPr>
              <w:t>按照2024年贵州省职业院校技能大赛教学能力比赛方案的技术要求，具有丰富教师教学能力比赛拍摄经验的团队，充分沟通后协助教师完成拍摄脚本的编写，配合教师收集详细的课程资料、图片、视频、文档等；</w:t>
            </w:r>
            <w:r>
              <w:rPr>
                <w:rFonts w:cs="Calibri"/>
                <w:color w:val="000000"/>
              </w:rPr>
              <w:t xml:space="preserve"> </w:t>
            </w:r>
          </w:p>
          <w:p>
            <w:pPr>
              <w:pStyle w:val="15"/>
              <w:spacing w:line="360" w:lineRule="auto"/>
              <w:rPr>
                <w:rFonts w:cs="Calibri"/>
                <w:color w:val="000000"/>
              </w:rPr>
            </w:pPr>
            <w:r>
              <w:rPr>
                <w:rFonts w:hint="eastAsia" w:cs="Calibri"/>
                <w:color w:val="000000"/>
              </w:rPr>
              <w:t>（2）形象指导</w:t>
            </w:r>
          </w:p>
          <w:p>
            <w:pPr>
              <w:pStyle w:val="15"/>
              <w:spacing w:line="360" w:lineRule="auto"/>
              <w:rPr>
                <w:rFonts w:cs="Calibri"/>
                <w:color w:val="000000"/>
              </w:rPr>
            </w:pPr>
            <w:r>
              <w:rPr>
                <w:rFonts w:hint="eastAsia" w:cs="Calibri"/>
                <w:color w:val="000000"/>
              </w:rPr>
              <w:sym w:font="Wingdings" w:char="F081"/>
            </w:r>
            <w:r>
              <w:rPr>
                <w:rFonts w:hint="eastAsia" w:cs="Calibri"/>
                <w:color w:val="000000"/>
              </w:rPr>
              <w:t>按照2024年贵州省职业院校技能大赛教学能力比赛方案的技术要求，设计贴合教师授课特点的拍摄形式，与老师沟通说明拍摄要求（PPT课件、声音、着装等方面要求），辅助教师服装及形象设计（包含整体妆容）；</w:t>
            </w:r>
          </w:p>
          <w:p>
            <w:pPr>
              <w:pStyle w:val="15"/>
              <w:spacing w:line="360" w:lineRule="auto"/>
              <w:rPr>
                <w:rFonts w:cs="Calibri"/>
                <w:color w:val="000000"/>
              </w:rPr>
            </w:pPr>
            <w:r>
              <w:rPr>
                <w:rFonts w:hint="eastAsia" w:cs="Calibri"/>
                <w:color w:val="000000"/>
              </w:rPr>
              <w:sym w:font="Wingdings" w:char="F082"/>
            </w:r>
            <w:r>
              <w:rPr>
                <w:rFonts w:hint="eastAsia" w:cs="Calibri"/>
                <w:color w:val="000000"/>
              </w:rPr>
              <w:t>确认拍摄内容的使用场景，如：教室录制，实训室录制等。提前与参赛团队沟通所需准备专业的拍摄器材和场地，包括拍摄使用的器材和入镜的演示人员，实验操作等。</w:t>
            </w:r>
          </w:p>
          <w:p>
            <w:pPr>
              <w:pStyle w:val="15"/>
              <w:spacing w:line="360" w:lineRule="auto"/>
              <w:rPr>
                <w:rFonts w:cs="Calibri"/>
                <w:color w:val="000000"/>
              </w:rPr>
            </w:pPr>
            <w:r>
              <w:rPr>
                <w:rFonts w:hint="eastAsia" w:cs="Calibri"/>
                <w:color w:val="000000"/>
              </w:rPr>
              <w:t>（3）参赛材料格式美化</w:t>
            </w:r>
          </w:p>
          <w:p>
            <w:pPr>
              <w:pStyle w:val="15"/>
              <w:spacing w:line="360" w:lineRule="auto"/>
              <w:rPr>
                <w:rFonts w:cs="Calibri"/>
                <w:color w:val="000000"/>
              </w:rPr>
            </w:pPr>
            <w:r>
              <w:rPr>
                <w:rFonts w:hint="eastAsia" w:cs="Calibri"/>
                <w:color w:val="000000"/>
              </w:rPr>
              <w:t>对参赛团队老师提供的文本材料格式美化，达到省赛参赛要求。</w:t>
            </w:r>
          </w:p>
          <w:p>
            <w:pPr>
              <w:pStyle w:val="15"/>
              <w:spacing w:line="360" w:lineRule="auto"/>
              <w:rPr>
                <w:rFonts w:cs="Calibri"/>
                <w:color w:val="000000"/>
              </w:rPr>
            </w:pPr>
            <w:r>
              <w:rPr>
                <w:rFonts w:hint="eastAsia" w:cs="Calibri"/>
                <w:color w:val="000000"/>
              </w:rPr>
              <w:t>（4）参赛作品视频录制</w:t>
            </w:r>
          </w:p>
          <w:p>
            <w:pPr>
              <w:pStyle w:val="15"/>
              <w:spacing w:line="360" w:lineRule="auto"/>
              <w:rPr>
                <w:rFonts w:cs="Calibri"/>
                <w:color w:val="000000"/>
              </w:rPr>
            </w:pPr>
            <w:r>
              <w:rPr>
                <w:rFonts w:hint="eastAsia" w:cs="Calibri"/>
                <w:color w:val="000000"/>
              </w:rPr>
              <w:t>录制结束时间最晚不能晚于比赛规定的截止时间前 1 天，每组录制时间 4 天以内。正式拍摄前，将与参赛教师协商具体拍摄事宜，如场地、着装、环境搭建等。教师根据参赛要求准备好拍摄内容，在正式拍摄前，参赛教师应有多次彩排，熟悉拍摄内容，以便在正式录制时达到最佳效果。</w:t>
            </w:r>
          </w:p>
          <w:p>
            <w:pPr>
              <w:pStyle w:val="15"/>
              <w:spacing w:line="360" w:lineRule="auto"/>
              <w:rPr>
                <w:rFonts w:cs="Calibri"/>
                <w:color w:val="000000"/>
              </w:rPr>
            </w:pPr>
            <w:r>
              <w:rPr>
                <w:rFonts w:hint="eastAsia" w:cs="Calibri"/>
                <w:color w:val="000000"/>
              </w:rPr>
              <w:t>课堂实录视频须采用3机位全程连续录制，镜头固定，其中一个机位对准黑板和屏幕，另两个机位根据教学实际固定镜头位置，须覆盖教室全景（1学时教学需要两个教学场所的，每个教学场所均须安放固定镜头，机位总数为 3个）。3机位须同步录制，保证音视频准确同步。录课过程中拍摄及其他人员不在场， 提交的视频从拍摄人员离场开始到拍摄人员停机为止（1学时之外的录制时长不超过2分钟）。所有机位拍摄的视频须保证音轨连续，不另行剪辑及配音，不加片头片尾、字幕注解。视频采用 MP4 格式封装，单个视频文件大小不超过 500M。每段视频文件以“教案序号+第几学时+教案页码+教学环节名称”来命名（其中教案页码以教案 PDF 文件顶部显示的页码为准），含教师实操演示与教学指导的 视频文件以“教案序号+第几学时+教案页码+教学环节名称+实操起始时间 n'm" -实操结束时间n'm" ”来命名（实操起止时间可以多段，用“+”连接）。</w:t>
            </w:r>
          </w:p>
          <w:p>
            <w:pPr>
              <w:pStyle w:val="15"/>
              <w:spacing w:before="0" w:beforeAutospacing="0" w:after="0" w:afterAutospacing="0" w:line="360" w:lineRule="auto"/>
            </w:pPr>
            <w:r>
              <w:rPr>
                <w:rFonts w:hint="eastAsia" w:cs="Calibri"/>
                <w:color w:val="000000"/>
              </w:rPr>
              <w:t>视频录制采用 H.264/AVC 编码格式压缩，动态比特率（码流）不低于1024Kbps，分辨率设定为 1280*720，采用逐行扫描，帧速率为 25 帧/秒。音频采用 AAC 格式压缩，采样率 48KHz，比特率（码流）128Kbps 左右。</w:t>
            </w:r>
          </w:p>
          <w:p>
            <w:pPr>
              <w:pStyle w:val="15"/>
              <w:spacing w:before="0" w:beforeAutospacing="0" w:after="0" w:afterAutospacing="0" w:line="360" w:lineRule="auto"/>
            </w:pPr>
            <w:r>
              <w:rPr>
                <w:rFonts w:hint="eastAsia" w:cs="Calibri"/>
                <w:color w:val="000000"/>
              </w:rPr>
              <w:t>（5）拍摄配备一名专业编导，在拍摄时会针对实际情况选择适当的拍摄方式，与后期制作统筹策划，确保成片中的多媒体演示及板书完整、清晰。</w:t>
            </w:r>
          </w:p>
          <w:p>
            <w:pPr>
              <w:pStyle w:val="15"/>
              <w:spacing w:before="0" w:beforeAutospacing="0" w:after="0" w:afterAutospacing="0" w:line="360" w:lineRule="auto"/>
            </w:pPr>
            <w:r>
              <w:rPr>
                <w:rFonts w:hint="eastAsia" w:cs="Calibri"/>
                <w:color w:val="000000"/>
              </w:rPr>
              <w:t>3.后期制作</w:t>
            </w:r>
          </w:p>
          <w:p>
            <w:pPr>
              <w:pStyle w:val="15"/>
              <w:spacing w:before="0" w:beforeAutospacing="0" w:after="0" w:afterAutospacing="0" w:line="360" w:lineRule="auto"/>
            </w:pPr>
            <w:r>
              <w:rPr>
                <w:rFonts w:hint="eastAsia" w:cs="Calibri"/>
                <w:color w:val="000000"/>
              </w:rPr>
              <w:t>（1）使用专业软件Premiere、EDIUS等对源音视频进行最基本的处理（如颜色校正、双声道处理）。</w:t>
            </w:r>
          </w:p>
          <w:p>
            <w:pPr>
              <w:pStyle w:val="15"/>
              <w:spacing w:before="0" w:beforeAutospacing="0" w:after="0" w:afterAutospacing="0" w:line="360" w:lineRule="auto"/>
            </w:pPr>
            <w:r>
              <w:rPr>
                <w:rFonts w:hint="eastAsia" w:cs="Calibri"/>
                <w:color w:val="000000"/>
              </w:rPr>
              <w:t>（2）TMPGEncVideo视频编辑系统进行视频降噪、音频降噪，以保证满足教育部对视频画面的严格要求。</w:t>
            </w:r>
          </w:p>
          <w:p>
            <w:pPr>
              <w:pStyle w:val="15"/>
              <w:spacing w:before="0" w:beforeAutospacing="0" w:after="0" w:afterAutospacing="0" w:line="360" w:lineRule="auto"/>
            </w:pPr>
            <w:r>
              <w:rPr>
                <w:rFonts w:hint="eastAsia" w:cs="Calibri"/>
                <w:color w:val="000000"/>
              </w:rPr>
              <w:t>4.视频交付时间</w:t>
            </w:r>
          </w:p>
          <w:p>
            <w:pPr>
              <w:pStyle w:val="15"/>
              <w:spacing w:before="0" w:beforeAutospacing="0" w:after="0" w:afterAutospacing="0" w:line="360" w:lineRule="auto"/>
            </w:pPr>
            <w:r>
              <w:rPr>
                <w:rFonts w:hint="eastAsia" w:cs="Calibri"/>
                <w:color w:val="000000"/>
              </w:rPr>
              <w:t>视频需在省赛平台提交截止前2天交付。</w:t>
            </w:r>
          </w:p>
          <w:p>
            <w:pPr>
              <w:pStyle w:val="15"/>
              <w:spacing w:before="0" w:beforeAutospacing="0" w:after="0" w:afterAutospacing="0" w:line="360" w:lineRule="auto"/>
              <w:rPr>
                <w:rFonts w:cs="Calibri"/>
                <w:color w:val="000000"/>
              </w:rPr>
            </w:pPr>
            <w:r>
              <w:rPr>
                <w:rFonts w:hint="eastAsia" w:cs="Calibri"/>
                <w:color w:val="000000"/>
              </w:rPr>
              <w:t>5.负责参赛教师的化妆和发型设计。</w:t>
            </w:r>
          </w:p>
          <w:p>
            <w:pPr>
              <w:pStyle w:val="15"/>
              <w:spacing w:before="0" w:beforeAutospacing="0" w:after="0" w:afterAutospacing="0" w:line="360" w:lineRule="auto"/>
              <w:rPr>
                <w:rFonts w:cs="Calibri"/>
                <w:color w:val="000000"/>
              </w:rPr>
            </w:pPr>
            <w:r>
              <w:rPr>
                <w:rFonts w:hint="eastAsia" w:cs="Calibri"/>
                <w:color w:val="000000"/>
              </w:rPr>
              <w:t>6</w:t>
            </w:r>
            <w:r>
              <w:rPr>
                <w:rFonts w:cs="Calibri"/>
                <w:color w:val="000000"/>
              </w:rPr>
              <w:t>.</w:t>
            </w:r>
            <w:r>
              <w:rPr>
                <w:rFonts w:hint="eastAsia"/>
              </w:rPr>
              <w:t>制作跟踪</w:t>
            </w:r>
          </w:p>
          <w:p>
            <w:pPr>
              <w:pStyle w:val="15"/>
              <w:spacing w:before="0" w:beforeAutospacing="0" w:after="0" w:afterAutospacing="0" w:line="360" w:lineRule="auto"/>
              <w:ind w:firstLine="480" w:firstLineChars="200"/>
            </w:pPr>
            <w:r>
              <w:rPr>
                <w:rFonts w:hint="eastAsia"/>
              </w:rPr>
              <w:t>配备编导全程跟踪对接相关工作：跟教师沟通需要准备哪些材料、协助教师进行作品脚本的设计、拍摄环境的选择、拍摄过程中的记录、着装等，具体分工如下图：</w:t>
            </w:r>
          </w:p>
          <w:tbl>
            <w:tblPr>
              <w:tblStyle w:val="17"/>
              <w:tblW w:w="6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709"/>
              <w:gridCol w:w="5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spacing w:line="360" w:lineRule="auto"/>
                    <w:rPr>
                      <w:rFonts w:hAnsi="宋体" w:cs="宋体"/>
                      <w:sz w:val="24"/>
                      <w:szCs w:val="24"/>
                    </w:rPr>
                  </w:pPr>
                  <w:r>
                    <w:rPr>
                      <w:rFonts w:hint="eastAsia" w:hAnsi="宋体" w:cs="宋体"/>
                      <w:sz w:val="24"/>
                      <w:szCs w:val="24"/>
                    </w:rPr>
                    <w:t>角色</w:t>
                  </w:r>
                </w:p>
              </w:tc>
              <w:tc>
                <w:tcPr>
                  <w:tcW w:w="709" w:type="dxa"/>
                  <w:tcBorders>
                    <w:top w:val="single" w:color="000000" w:sz="4" w:space="0"/>
                    <w:left w:val="nil"/>
                    <w:bottom w:val="single" w:color="000000" w:sz="4" w:space="0"/>
                    <w:right w:val="single" w:color="000000" w:sz="4" w:space="0"/>
                  </w:tcBorders>
                  <w:vAlign w:val="center"/>
                </w:tcPr>
                <w:p>
                  <w:pPr>
                    <w:pStyle w:val="11"/>
                    <w:adjustRightInd w:val="0"/>
                    <w:snapToGrid w:val="0"/>
                    <w:spacing w:line="360" w:lineRule="auto"/>
                    <w:rPr>
                      <w:rFonts w:hAnsi="宋体" w:cs="宋体"/>
                      <w:sz w:val="24"/>
                      <w:szCs w:val="24"/>
                    </w:rPr>
                  </w:pPr>
                  <w:r>
                    <w:rPr>
                      <w:rFonts w:hint="eastAsia" w:hAnsi="宋体" w:cs="宋体"/>
                      <w:sz w:val="24"/>
                      <w:szCs w:val="24"/>
                    </w:rPr>
                    <w:t>分工</w:t>
                  </w:r>
                </w:p>
              </w:tc>
              <w:tc>
                <w:tcPr>
                  <w:tcW w:w="5105" w:type="dxa"/>
                  <w:tcBorders>
                    <w:top w:val="single" w:color="000000" w:sz="4" w:space="0"/>
                    <w:left w:val="nil"/>
                    <w:bottom w:val="single" w:color="000000" w:sz="4" w:space="0"/>
                    <w:right w:val="single" w:color="000000" w:sz="4" w:space="0"/>
                  </w:tcBorders>
                  <w:vAlign w:val="center"/>
                </w:tcPr>
                <w:p>
                  <w:pPr>
                    <w:pStyle w:val="11"/>
                    <w:adjustRightInd w:val="0"/>
                    <w:snapToGrid w:val="0"/>
                    <w:spacing w:line="360" w:lineRule="auto"/>
                    <w:rPr>
                      <w:rFonts w:hAnsi="宋体" w:cs="宋体"/>
                      <w:sz w:val="24"/>
                      <w:szCs w:val="24"/>
                    </w:rPr>
                  </w:pPr>
                  <w:r>
                    <w:rPr>
                      <w:rFonts w:hint="eastAsia" w:hAnsi="宋体" w:cs="宋体"/>
                      <w:sz w:val="24"/>
                      <w:szCs w:val="24"/>
                    </w:rPr>
                    <w:t>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9" w:type="dxa"/>
                  <w:vMerge w:val="restart"/>
                  <w:tcBorders>
                    <w:top w:val="nil"/>
                    <w:left w:val="single" w:color="000000" w:sz="4" w:space="0"/>
                    <w:bottom w:val="single" w:color="000000" w:sz="4" w:space="0"/>
                    <w:right w:val="single" w:color="000000" w:sz="4" w:space="0"/>
                  </w:tcBorders>
                  <w:vAlign w:val="center"/>
                </w:tcPr>
                <w:p>
                  <w:pPr>
                    <w:pStyle w:val="11"/>
                    <w:adjustRightInd w:val="0"/>
                    <w:snapToGrid w:val="0"/>
                    <w:spacing w:line="360" w:lineRule="auto"/>
                    <w:rPr>
                      <w:rFonts w:hAnsi="宋体" w:cs="宋体"/>
                      <w:sz w:val="24"/>
                      <w:szCs w:val="24"/>
                    </w:rPr>
                  </w:pPr>
                  <w:r>
                    <w:rPr>
                      <w:rFonts w:hint="eastAsia" w:hAnsi="宋体" w:cs="宋体"/>
                      <w:sz w:val="24"/>
                      <w:szCs w:val="24"/>
                    </w:rPr>
                    <w:t>教师</w:t>
                  </w:r>
                </w:p>
              </w:tc>
              <w:tc>
                <w:tcPr>
                  <w:tcW w:w="709" w:type="dxa"/>
                  <w:vMerge w:val="restart"/>
                  <w:tcBorders>
                    <w:top w:val="nil"/>
                    <w:left w:val="nil"/>
                    <w:bottom w:val="single" w:color="000000" w:sz="4" w:space="0"/>
                    <w:right w:val="single" w:color="000000" w:sz="4" w:space="0"/>
                  </w:tcBorders>
                  <w:vAlign w:val="center"/>
                </w:tcPr>
                <w:p>
                  <w:pPr>
                    <w:pStyle w:val="11"/>
                    <w:adjustRightInd w:val="0"/>
                    <w:snapToGrid w:val="0"/>
                    <w:spacing w:line="360" w:lineRule="auto"/>
                    <w:rPr>
                      <w:rFonts w:hAnsi="宋体" w:cs="宋体"/>
                      <w:sz w:val="24"/>
                      <w:szCs w:val="24"/>
                    </w:rPr>
                  </w:pPr>
                  <w:r>
                    <w:rPr>
                      <w:rFonts w:hint="eastAsia" w:hAnsi="宋体" w:cs="宋体"/>
                      <w:sz w:val="24"/>
                      <w:szCs w:val="24"/>
                    </w:rPr>
                    <w:t>内容组织</w:t>
                  </w:r>
                </w:p>
              </w:tc>
              <w:tc>
                <w:tcPr>
                  <w:tcW w:w="5105" w:type="dxa"/>
                  <w:tcBorders>
                    <w:top w:val="single" w:color="000000" w:sz="4" w:space="0"/>
                    <w:left w:val="nil"/>
                    <w:bottom w:val="single" w:color="000000" w:sz="4" w:space="0"/>
                    <w:right w:val="single" w:color="000000" w:sz="4" w:space="0"/>
                  </w:tcBorders>
                  <w:vAlign w:val="center"/>
                </w:tcPr>
                <w:p>
                  <w:pPr>
                    <w:pStyle w:val="11"/>
                    <w:adjustRightInd w:val="0"/>
                    <w:snapToGrid w:val="0"/>
                    <w:spacing w:line="360" w:lineRule="auto"/>
                    <w:rPr>
                      <w:rFonts w:hAnsi="宋体" w:cs="宋体"/>
                      <w:sz w:val="24"/>
                      <w:szCs w:val="24"/>
                    </w:rPr>
                  </w:pPr>
                  <w:r>
                    <w:rPr>
                      <w:rFonts w:hint="eastAsia" w:hAnsi="宋体" w:cs="宋体"/>
                      <w:sz w:val="24"/>
                      <w:szCs w:val="24"/>
                    </w:rPr>
                    <w:t>按参赛选题进行教学设计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9" w:type="dxa"/>
                  <w:vMerge w:val="continue"/>
                  <w:tcBorders>
                    <w:top w:val="nil"/>
                    <w:left w:val="single" w:color="000000" w:sz="4" w:space="0"/>
                    <w:bottom w:val="single" w:color="000000" w:sz="4" w:space="0"/>
                    <w:right w:val="single" w:color="000000" w:sz="4" w:space="0"/>
                  </w:tcBorders>
                  <w:vAlign w:val="center"/>
                </w:tcPr>
                <w:p>
                  <w:pPr>
                    <w:widowControl/>
                    <w:snapToGrid w:val="0"/>
                    <w:spacing w:line="360" w:lineRule="auto"/>
                    <w:rPr>
                      <w:rFonts w:ascii="宋体" w:hAnsi="宋体" w:cs="宋体"/>
                    </w:rPr>
                  </w:pPr>
                </w:p>
              </w:tc>
              <w:tc>
                <w:tcPr>
                  <w:tcW w:w="709" w:type="dxa"/>
                  <w:vMerge w:val="continue"/>
                  <w:tcBorders>
                    <w:top w:val="nil"/>
                    <w:left w:val="nil"/>
                    <w:bottom w:val="single" w:color="000000" w:sz="4" w:space="0"/>
                    <w:right w:val="single" w:color="000000" w:sz="4" w:space="0"/>
                  </w:tcBorders>
                  <w:vAlign w:val="center"/>
                </w:tcPr>
                <w:p>
                  <w:pPr>
                    <w:widowControl/>
                    <w:snapToGrid w:val="0"/>
                    <w:spacing w:line="360" w:lineRule="auto"/>
                    <w:rPr>
                      <w:rFonts w:ascii="宋体" w:hAnsi="宋体" w:cs="宋体"/>
                    </w:rPr>
                  </w:pPr>
                </w:p>
              </w:tc>
              <w:tc>
                <w:tcPr>
                  <w:tcW w:w="5105" w:type="dxa"/>
                  <w:tcBorders>
                    <w:top w:val="single" w:color="000000" w:sz="4" w:space="0"/>
                    <w:left w:val="nil"/>
                    <w:bottom w:val="single" w:color="000000" w:sz="4" w:space="0"/>
                    <w:right w:val="single" w:color="000000" w:sz="4" w:space="0"/>
                  </w:tcBorders>
                  <w:vAlign w:val="center"/>
                </w:tcPr>
                <w:p>
                  <w:pPr>
                    <w:pStyle w:val="11"/>
                    <w:adjustRightInd w:val="0"/>
                    <w:snapToGrid w:val="0"/>
                    <w:spacing w:line="360" w:lineRule="auto"/>
                    <w:rPr>
                      <w:rFonts w:hAnsi="宋体" w:cs="宋体"/>
                      <w:sz w:val="24"/>
                      <w:szCs w:val="24"/>
                    </w:rPr>
                  </w:pPr>
                  <w:r>
                    <w:rPr>
                      <w:rFonts w:hint="eastAsia" w:hAnsi="宋体" w:cs="宋体"/>
                      <w:sz w:val="24"/>
                      <w:szCs w:val="24"/>
                    </w:rPr>
                    <w:t>提出教学过程中所需要的资源，搜集现有材料给编辑人员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9" w:type="dxa"/>
                  <w:vMerge w:val="restart"/>
                  <w:tcBorders>
                    <w:top w:val="nil"/>
                    <w:left w:val="single" w:color="000000" w:sz="4" w:space="0"/>
                    <w:bottom w:val="single" w:color="000000" w:sz="4" w:space="0"/>
                    <w:right w:val="single" w:color="000000" w:sz="4" w:space="0"/>
                  </w:tcBorders>
                  <w:vAlign w:val="center"/>
                </w:tcPr>
                <w:p>
                  <w:pPr>
                    <w:pStyle w:val="11"/>
                    <w:adjustRightInd w:val="0"/>
                    <w:snapToGrid w:val="0"/>
                    <w:spacing w:line="360" w:lineRule="auto"/>
                    <w:rPr>
                      <w:rFonts w:hAnsi="宋体" w:cs="宋体"/>
                      <w:sz w:val="24"/>
                      <w:szCs w:val="24"/>
                    </w:rPr>
                  </w:pPr>
                  <w:r>
                    <w:rPr>
                      <w:rFonts w:hint="eastAsia" w:hAnsi="宋体" w:cs="宋体"/>
                      <w:sz w:val="24"/>
                      <w:szCs w:val="24"/>
                    </w:rPr>
                    <w:t>责任编导</w:t>
                  </w:r>
                </w:p>
              </w:tc>
              <w:tc>
                <w:tcPr>
                  <w:tcW w:w="709" w:type="dxa"/>
                  <w:tcBorders>
                    <w:top w:val="single" w:color="000000" w:sz="4" w:space="0"/>
                    <w:left w:val="nil"/>
                    <w:bottom w:val="single" w:color="000000" w:sz="4" w:space="0"/>
                    <w:right w:val="single" w:color="000000" w:sz="4" w:space="0"/>
                  </w:tcBorders>
                  <w:vAlign w:val="center"/>
                </w:tcPr>
                <w:p>
                  <w:pPr>
                    <w:pStyle w:val="11"/>
                    <w:adjustRightInd w:val="0"/>
                    <w:snapToGrid w:val="0"/>
                    <w:spacing w:line="360" w:lineRule="auto"/>
                    <w:rPr>
                      <w:rFonts w:hAnsi="宋体" w:cs="宋体"/>
                      <w:sz w:val="24"/>
                      <w:szCs w:val="24"/>
                    </w:rPr>
                  </w:pPr>
                  <w:r>
                    <w:rPr>
                      <w:rFonts w:hint="eastAsia" w:hAnsi="宋体" w:cs="宋体"/>
                      <w:sz w:val="24"/>
                      <w:szCs w:val="24"/>
                    </w:rPr>
                    <w:t>全程把控</w:t>
                  </w:r>
                </w:p>
              </w:tc>
              <w:tc>
                <w:tcPr>
                  <w:tcW w:w="5105" w:type="dxa"/>
                  <w:tcBorders>
                    <w:top w:val="single" w:color="000000" w:sz="4" w:space="0"/>
                    <w:left w:val="nil"/>
                    <w:bottom w:val="single" w:color="000000" w:sz="4" w:space="0"/>
                    <w:right w:val="single" w:color="000000" w:sz="4" w:space="0"/>
                  </w:tcBorders>
                  <w:vAlign w:val="center"/>
                </w:tcPr>
                <w:p>
                  <w:pPr>
                    <w:pStyle w:val="11"/>
                    <w:adjustRightInd w:val="0"/>
                    <w:snapToGrid w:val="0"/>
                    <w:spacing w:line="360" w:lineRule="auto"/>
                    <w:rPr>
                      <w:rFonts w:hAnsi="宋体" w:cs="宋体"/>
                      <w:sz w:val="24"/>
                      <w:szCs w:val="24"/>
                    </w:rPr>
                  </w:pPr>
                  <w:r>
                    <w:rPr>
                      <w:rFonts w:hint="eastAsia" w:hAnsi="宋体" w:cs="宋体"/>
                      <w:sz w:val="24"/>
                      <w:szCs w:val="24"/>
                    </w:rPr>
                    <w:t>收集资料，整体把控，资源可用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39" w:type="dxa"/>
                  <w:vMerge w:val="continue"/>
                  <w:tcBorders>
                    <w:top w:val="nil"/>
                    <w:left w:val="single" w:color="000000" w:sz="4" w:space="0"/>
                    <w:bottom w:val="single" w:color="000000" w:sz="4" w:space="0"/>
                    <w:right w:val="single" w:color="000000" w:sz="4" w:space="0"/>
                  </w:tcBorders>
                  <w:vAlign w:val="center"/>
                </w:tcPr>
                <w:p>
                  <w:pPr>
                    <w:widowControl/>
                    <w:snapToGrid w:val="0"/>
                    <w:spacing w:line="360" w:lineRule="auto"/>
                    <w:rPr>
                      <w:rFonts w:ascii="宋体" w:hAnsi="宋体" w:cs="宋体"/>
                    </w:rPr>
                  </w:pPr>
                </w:p>
              </w:tc>
              <w:tc>
                <w:tcPr>
                  <w:tcW w:w="709" w:type="dxa"/>
                  <w:tcBorders>
                    <w:top w:val="nil"/>
                    <w:left w:val="nil"/>
                    <w:bottom w:val="single" w:color="000000" w:sz="4" w:space="0"/>
                    <w:right w:val="single" w:color="000000" w:sz="4" w:space="0"/>
                  </w:tcBorders>
                  <w:vAlign w:val="center"/>
                </w:tcPr>
                <w:p>
                  <w:pPr>
                    <w:pStyle w:val="11"/>
                    <w:adjustRightInd w:val="0"/>
                    <w:snapToGrid w:val="0"/>
                    <w:spacing w:line="360" w:lineRule="auto"/>
                    <w:rPr>
                      <w:rFonts w:hAnsi="宋体" w:cs="宋体"/>
                      <w:sz w:val="24"/>
                      <w:szCs w:val="24"/>
                    </w:rPr>
                  </w:pPr>
                  <w:r>
                    <w:rPr>
                      <w:rFonts w:hint="eastAsia" w:hAnsi="宋体" w:cs="宋体"/>
                      <w:sz w:val="24"/>
                      <w:szCs w:val="24"/>
                    </w:rPr>
                    <w:t>作品设计</w:t>
                  </w:r>
                </w:p>
              </w:tc>
              <w:tc>
                <w:tcPr>
                  <w:tcW w:w="5105" w:type="dxa"/>
                  <w:tcBorders>
                    <w:top w:val="single" w:color="000000" w:sz="4" w:space="0"/>
                    <w:left w:val="nil"/>
                    <w:right w:val="single" w:color="000000" w:sz="4" w:space="0"/>
                  </w:tcBorders>
                  <w:vAlign w:val="center"/>
                </w:tcPr>
                <w:p>
                  <w:pPr>
                    <w:pStyle w:val="11"/>
                    <w:adjustRightInd w:val="0"/>
                    <w:snapToGrid w:val="0"/>
                    <w:spacing w:line="360" w:lineRule="auto"/>
                    <w:rPr>
                      <w:rFonts w:hAnsi="宋体" w:cs="宋体"/>
                      <w:sz w:val="24"/>
                      <w:szCs w:val="24"/>
                    </w:rPr>
                  </w:pPr>
                  <w:r>
                    <w:rPr>
                      <w:rFonts w:hint="eastAsia" w:hAnsi="宋体" w:cs="宋体"/>
                      <w:sz w:val="24"/>
                      <w:szCs w:val="24"/>
                    </w:rPr>
                    <w:t>根据教师提供的教学内容，将教师教学内容脚本所有步骤细节化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spacing w:line="360" w:lineRule="auto"/>
                    <w:rPr>
                      <w:rFonts w:hAnsi="宋体" w:cs="宋体"/>
                      <w:sz w:val="24"/>
                      <w:szCs w:val="24"/>
                    </w:rPr>
                  </w:pPr>
                  <w:r>
                    <w:rPr>
                      <w:rFonts w:hint="eastAsia" w:hAnsi="宋体" w:cs="宋体"/>
                      <w:sz w:val="24"/>
                      <w:szCs w:val="24"/>
                    </w:rPr>
                    <w:t>摄像</w:t>
                  </w:r>
                </w:p>
              </w:tc>
              <w:tc>
                <w:tcPr>
                  <w:tcW w:w="709" w:type="dxa"/>
                  <w:tcBorders>
                    <w:top w:val="single" w:color="000000" w:sz="4" w:space="0"/>
                    <w:left w:val="nil"/>
                    <w:bottom w:val="single" w:color="000000" w:sz="4" w:space="0"/>
                    <w:right w:val="single" w:color="000000" w:sz="4" w:space="0"/>
                  </w:tcBorders>
                  <w:vAlign w:val="center"/>
                </w:tcPr>
                <w:p>
                  <w:pPr>
                    <w:pStyle w:val="11"/>
                    <w:adjustRightInd w:val="0"/>
                    <w:snapToGrid w:val="0"/>
                    <w:spacing w:line="360" w:lineRule="auto"/>
                    <w:rPr>
                      <w:rFonts w:hAnsi="宋体" w:cs="宋体"/>
                      <w:sz w:val="24"/>
                      <w:szCs w:val="24"/>
                    </w:rPr>
                  </w:pPr>
                  <w:r>
                    <w:rPr>
                      <w:rFonts w:hint="eastAsia" w:hAnsi="宋体" w:cs="宋体"/>
                      <w:sz w:val="24"/>
                      <w:szCs w:val="24"/>
                    </w:rPr>
                    <w:t>视频拍摄</w:t>
                  </w:r>
                </w:p>
              </w:tc>
              <w:tc>
                <w:tcPr>
                  <w:tcW w:w="5105" w:type="dxa"/>
                  <w:tcBorders>
                    <w:top w:val="single" w:color="000000" w:sz="4" w:space="0"/>
                    <w:left w:val="nil"/>
                    <w:bottom w:val="single" w:color="000000" w:sz="4" w:space="0"/>
                    <w:right w:val="single" w:color="000000" w:sz="4" w:space="0"/>
                  </w:tcBorders>
                  <w:vAlign w:val="center"/>
                </w:tcPr>
                <w:p>
                  <w:pPr>
                    <w:pStyle w:val="11"/>
                    <w:adjustRightInd w:val="0"/>
                    <w:snapToGrid w:val="0"/>
                    <w:spacing w:line="360" w:lineRule="auto"/>
                    <w:rPr>
                      <w:rFonts w:hAnsi="宋体" w:cs="宋体"/>
                      <w:sz w:val="24"/>
                      <w:szCs w:val="24"/>
                    </w:rPr>
                  </w:pPr>
                  <w:r>
                    <w:rPr>
                      <w:rFonts w:hint="eastAsia" w:hAnsi="宋体" w:cs="宋体"/>
                      <w:sz w:val="24"/>
                      <w:szCs w:val="24"/>
                    </w:rPr>
                    <w:t>根据脚本及编导要求进行拍摄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spacing w:line="360" w:lineRule="auto"/>
                    <w:rPr>
                      <w:rFonts w:hAnsi="宋体" w:cs="宋体"/>
                      <w:sz w:val="24"/>
                      <w:szCs w:val="24"/>
                    </w:rPr>
                  </w:pPr>
                  <w:r>
                    <w:rPr>
                      <w:rFonts w:hint="eastAsia" w:hAnsi="宋体" w:cs="宋体"/>
                      <w:sz w:val="24"/>
                      <w:szCs w:val="24"/>
                    </w:rPr>
                    <w:t>后期</w:t>
                  </w:r>
                </w:p>
              </w:tc>
              <w:tc>
                <w:tcPr>
                  <w:tcW w:w="709" w:type="dxa"/>
                  <w:tcBorders>
                    <w:top w:val="single" w:color="000000" w:sz="4" w:space="0"/>
                    <w:left w:val="nil"/>
                    <w:bottom w:val="single" w:color="000000" w:sz="4" w:space="0"/>
                    <w:right w:val="single" w:color="000000" w:sz="4" w:space="0"/>
                  </w:tcBorders>
                  <w:vAlign w:val="center"/>
                </w:tcPr>
                <w:p>
                  <w:pPr>
                    <w:pStyle w:val="11"/>
                    <w:adjustRightInd w:val="0"/>
                    <w:snapToGrid w:val="0"/>
                    <w:spacing w:line="360" w:lineRule="auto"/>
                    <w:rPr>
                      <w:rFonts w:hAnsi="宋体" w:cs="宋体"/>
                      <w:sz w:val="24"/>
                      <w:szCs w:val="24"/>
                    </w:rPr>
                  </w:pPr>
                  <w:r>
                    <w:rPr>
                      <w:rFonts w:hint="eastAsia" w:hAnsi="宋体" w:cs="宋体"/>
                      <w:sz w:val="24"/>
                      <w:szCs w:val="24"/>
                    </w:rPr>
                    <w:t>后期制作</w:t>
                  </w:r>
                </w:p>
              </w:tc>
              <w:tc>
                <w:tcPr>
                  <w:tcW w:w="5105" w:type="dxa"/>
                  <w:tcBorders>
                    <w:top w:val="single" w:color="000000" w:sz="4" w:space="0"/>
                    <w:left w:val="nil"/>
                    <w:bottom w:val="single" w:color="000000" w:sz="4" w:space="0"/>
                    <w:right w:val="single" w:color="000000" w:sz="4" w:space="0"/>
                  </w:tcBorders>
                  <w:vAlign w:val="center"/>
                </w:tcPr>
                <w:p>
                  <w:pPr>
                    <w:pStyle w:val="11"/>
                    <w:adjustRightInd w:val="0"/>
                    <w:snapToGrid w:val="0"/>
                    <w:spacing w:line="360" w:lineRule="auto"/>
                    <w:rPr>
                      <w:rFonts w:hAnsi="宋体" w:cs="宋体"/>
                      <w:sz w:val="24"/>
                      <w:szCs w:val="24"/>
                    </w:rPr>
                  </w:pPr>
                  <w:r>
                    <w:rPr>
                      <w:rFonts w:hint="eastAsia" w:hAnsi="宋体" w:cs="宋体"/>
                      <w:sz w:val="24"/>
                      <w:szCs w:val="24"/>
                    </w:rPr>
                    <w:t>处理视频画面、声音降噪。</w:t>
                  </w:r>
                </w:p>
              </w:tc>
            </w:tr>
          </w:tbl>
          <w:p>
            <w:pPr>
              <w:pStyle w:val="15"/>
              <w:spacing w:before="0" w:beforeAutospacing="0" w:after="0" w:afterAutospacing="0"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spacing w:line="360" w:lineRule="auto"/>
              <w:jc w:val="center"/>
              <w:rPr>
                <w:rFonts w:ascii="宋体" w:hAnsi="宋体" w:cs="楷体_GB2312"/>
                <w:sz w:val="24"/>
              </w:rPr>
            </w:pPr>
            <w:r>
              <w:rPr>
                <w:rFonts w:hint="eastAsia" w:ascii="宋体" w:hAnsi="宋体" w:cs="楷体_GB2312"/>
                <w:sz w:val="24"/>
              </w:rPr>
              <w:t>四</w:t>
            </w:r>
          </w:p>
        </w:tc>
        <w:tc>
          <w:tcPr>
            <w:tcW w:w="882" w:type="dxa"/>
          </w:tcPr>
          <w:p>
            <w:pPr>
              <w:pStyle w:val="15"/>
              <w:spacing w:before="0" w:beforeAutospacing="0" w:after="0" w:afterAutospacing="0" w:line="360" w:lineRule="auto"/>
              <w:jc w:val="center"/>
              <w:rPr>
                <w:rFonts w:cs="Calibri"/>
                <w:color w:val="000000"/>
              </w:rPr>
            </w:pPr>
            <w:r>
              <w:rPr>
                <w:rFonts w:hint="eastAsia" w:cs="Calibri"/>
                <w:color w:val="000000"/>
              </w:rPr>
              <w:t>其他要求</w:t>
            </w:r>
          </w:p>
        </w:tc>
        <w:tc>
          <w:tcPr>
            <w:tcW w:w="6779" w:type="dxa"/>
          </w:tcPr>
          <w:p>
            <w:pPr>
              <w:spacing w:line="360" w:lineRule="auto"/>
              <w:rPr>
                <w:rFonts w:ascii="宋体" w:hAnsi="宋体" w:cs="楷体_GB2312"/>
                <w:color w:val="000000"/>
                <w:sz w:val="24"/>
              </w:rPr>
            </w:pPr>
            <w:r>
              <w:rPr>
                <w:rFonts w:hint="eastAsia" w:ascii="宋体" w:hAnsi="宋体" w:cs="楷体_GB2312"/>
                <w:color w:val="000000"/>
                <w:sz w:val="24"/>
              </w:rPr>
              <w:t>1.</w:t>
            </w:r>
            <w:r>
              <w:rPr>
                <w:rFonts w:hint="eastAsia"/>
              </w:rPr>
              <w:t xml:space="preserve"> </w:t>
            </w:r>
            <w:r>
              <w:rPr>
                <w:rFonts w:hint="eastAsia" w:ascii="宋体" w:hAnsi="宋体" w:cs="楷体_GB2312"/>
                <w:color w:val="000000"/>
                <w:sz w:val="24"/>
              </w:rPr>
              <w:t>中标供应商需在1个工作日内对上述参数要求逐条演示（所演示平台需获得三级等保备案、软件著作权证书，及著作权人针对本项目授权并加盖著作权人公章）；如果虚假响应，采购人有权在不承担任何法律和赔偿责任的情况下无条件终止合同并追究虚假中标方的法律责任。</w:t>
            </w:r>
          </w:p>
          <w:p>
            <w:pPr>
              <w:spacing w:line="360" w:lineRule="auto"/>
              <w:rPr>
                <w:rFonts w:ascii="宋体" w:hAnsi="宋体" w:cs="楷体_GB2312"/>
                <w:color w:val="000000"/>
                <w:sz w:val="24"/>
              </w:rPr>
            </w:pPr>
            <w:r>
              <w:rPr>
                <w:rFonts w:hint="eastAsia" w:ascii="宋体" w:hAnsi="宋体" w:cs="楷体_GB2312"/>
                <w:color w:val="000000"/>
                <w:sz w:val="24"/>
              </w:rPr>
              <w:t>2.要求各投标人按照招标文件要求胶装密封好投标文件，待竞价结束后，采购人另行通知评审时间；如果虚假响应，采购人有权在不承担任何法律和赔偿责任的情况下无条件终止合同并追究虚假中标方的法律责任。</w:t>
            </w:r>
          </w:p>
          <w:p>
            <w:pPr>
              <w:spacing w:line="360" w:lineRule="auto"/>
              <w:rPr>
                <w:rFonts w:ascii="宋体" w:hAnsi="宋体" w:cs="楷体_GB2312"/>
                <w:color w:val="000000"/>
                <w:sz w:val="24"/>
              </w:rPr>
            </w:pPr>
            <w:r>
              <w:rPr>
                <w:rFonts w:hint="eastAsia" w:ascii="宋体" w:hAnsi="宋体" w:cs="楷体_GB2312"/>
                <w:color w:val="000000"/>
                <w:sz w:val="24"/>
              </w:rPr>
              <w:t>3.投标企业需要对我校做出承诺，格式自拟，我校教师材料资源版权属于老师及铜仁职业技术学院，未经授权，任何单位和个人均不得传播和使用，否则依法追究其法律责任。</w:t>
            </w:r>
          </w:p>
        </w:tc>
      </w:tr>
    </w:tbl>
    <w:p>
      <w:pPr>
        <w:spacing w:line="360" w:lineRule="auto"/>
        <w:rPr>
          <w:rFonts w:ascii="宋体" w:hAnsi="宋体" w:cs="宋体"/>
          <w:bCs/>
          <w:color w:val="000000"/>
          <w:kern w:val="0"/>
          <w:sz w:val="28"/>
          <w:szCs w:val="28"/>
          <w:lang w:bidi="ar"/>
        </w:rPr>
      </w:pPr>
      <w:r>
        <w:rPr>
          <w:rFonts w:hint="eastAsia" w:ascii="宋体" w:hAnsi="宋体" w:cs="宋体"/>
          <w:bCs/>
          <w:color w:val="000000"/>
          <w:kern w:val="0"/>
          <w:sz w:val="28"/>
          <w:szCs w:val="28"/>
          <w:lang w:bidi="ar"/>
        </w:rPr>
        <w:t>四、线下综合评分</w:t>
      </w:r>
    </w:p>
    <w:tbl>
      <w:tblPr>
        <w:tblStyle w:val="17"/>
        <w:tblW w:w="8795" w:type="dxa"/>
        <w:tblInd w:w="93" w:type="dxa"/>
        <w:tblLayout w:type="fixed"/>
        <w:tblCellMar>
          <w:top w:w="0" w:type="dxa"/>
          <w:left w:w="108" w:type="dxa"/>
          <w:bottom w:w="0" w:type="dxa"/>
          <w:right w:w="108" w:type="dxa"/>
        </w:tblCellMar>
      </w:tblPr>
      <w:tblGrid>
        <w:gridCol w:w="538"/>
        <w:gridCol w:w="813"/>
        <w:gridCol w:w="675"/>
        <w:gridCol w:w="6175"/>
        <w:gridCol w:w="594"/>
      </w:tblGrid>
      <w:tr>
        <w:tblPrEx>
          <w:tblCellMar>
            <w:top w:w="0" w:type="dxa"/>
            <w:left w:w="108" w:type="dxa"/>
            <w:bottom w:w="0" w:type="dxa"/>
            <w:right w:w="108" w:type="dxa"/>
          </w:tblCellMar>
        </w:tblPrEx>
        <w:trPr>
          <w:trHeight w:val="638" w:hRule="atLeast"/>
        </w:trPr>
        <w:tc>
          <w:tcPr>
            <w:tcW w:w="5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ascii="宋体" w:hAnsi="宋体" w:cs="楷体_GB2312"/>
              </w:rPr>
            </w:pPr>
            <w:r>
              <w:rPr>
                <w:rFonts w:hint="eastAsia" w:ascii="宋体" w:hAnsi="宋体" w:cs="楷体_GB2312"/>
                <w:sz w:val="24"/>
              </w:rPr>
              <w:t>序号</w:t>
            </w:r>
          </w:p>
        </w:tc>
        <w:tc>
          <w:tcPr>
            <w:tcW w:w="813"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ascii="宋体" w:hAnsi="宋体" w:cs="楷体_GB2312"/>
              </w:rPr>
            </w:pPr>
            <w:r>
              <w:rPr>
                <w:rFonts w:hint="eastAsia" w:ascii="宋体" w:hAnsi="宋体" w:cs="楷体_GB2312"/>
                <w:sz w:val="24"/>
              </w:rPr>
              <w:t>评分内容</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ascii="宋体" w:hAnsi="宋体" w:cs="楷体_GB2312"/>
              </w:rPr>
            </w:pPr>
            <w:r>
              <w:rPr>
                <w:rFonts w:hint="eastAsia" w:ascii="宋体" w:hAnsi="宋体" w:cs="楷体_GB2312"/>
                <w:sz w:val="24"/>
              </w:rPr>
              <w:t>分值</w:t>
            </w:r>
          </w:p>
        </w:tc>
        <w:tc>
          <w:tcPr>
            <w:tcW w:w="61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ascii="宋体" w:hAnsi="宋体" w:cs="楷体_GB2312"/>
              </w:rPr>
            </w:pPr>
            <w:r>
              <w:rPr>
                <w:rFonts w:hint="eastAsia" w:ascii="宋体" w:hAnsi="宋体" w:cs="楷体_GB2312"/>
                <w:sz w:val="24"/>
              </w:rPr>
              <w:t>评分标准</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ascii="宋体" w:hAnsi="宋体" w:cs="楷体_GB2312"/>
              </w:rPr>
            </w:pPr>
            <w:r>
              <w:rPr>
                <w:rFonts w:hint="eastAsia" w:ascii="宋体" w:hAnsi="宋体" w:cs="楷体_GB2312"/>
                <w:sz w:val="24"/>
              </w:rPr>
              <w:t>说明</w:t>
            </w:r>
          </w:p>
        </w:tc>
      </w:tr>
      <w:tr>
        <w:tblPrEx>
          <w:tblCellMar>
            <w:top w:w="0" w:type="dxa"/>
            <w:left w:w="108" w:type="dxa"/>
            <w:bottom w:w="0" w:type="dxa"/>
            <w:right w:w="108" w:type="dxa"/>
          </w:tblCellMar>
        </w:tblPrEx>
        <w:trPr>
          <w:trHeight w:val="90" w:hRule="atLeast"/>
        </w:trPr>
        <w:tc>
          <w:tcPr>
            <w:tcW w:w="5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楷体_GB2312"/>
              </w:rPr>
            </w:pPr>
            <w:r>
              <w:rPr>
                <w:rFonts w:hint="eastAsia" w:ascii="仿宋" w:hAnsi="仿宋" w:eastAsia="仿宋" w:cs="仿宋"/>
                <w:color w:val="000000"/>
                <w:kern w:val="0"/>
                <w:sz w:val="24"/>
                <w:lang w:bidi="ar"/>
              </w:rPr>
              <w:t>1</w:t>
            </w:r>
          </w:p>
        </w:tc>
        <w:tc>
          <w:tcPr>
            <w:tcW w:w="81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楷体_GB2312"/>
              </w:rPr>
            </w:pPr>
            <w:r>
              <w:rPr>
                <w:rFonts w:hint="eastAsia" w:ascii="仿宋" w:hAnsi="仿宋" w:eastAsia="仿宋" w:cs="仿宋"/>
                <w:color w:val="000000"/>
                <w:kern w:val="0"/>
                <w:sz w:val="24"/>
                <w:lang w:bidi="ar"/>
              </w:rPr>
              <w:t>价格</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楷体_GB2312"/>
              </w:rPr>
            </w:pPr>
            <w:r>
              <w:rPr>
                <w:rFonts w:hint="eastAsia" w:ascii="仿宋" w:hAnsi="仿宋" w:eastAsia="仿宋" w:cs="仿宋"/>
                <w:color w:val="000000"/>
                <w:sz w:val="24"/>
              </w:rPr>
              <w:t>40</w:t>
            </w:r>
          </w:p>
        </w:tc>
        <w:tc>
          <w:tcPr>
            <w:tcW w:w="61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仿宋" w:hAnsi="仿宋" w:eastAsia="仿宋" w:cs="仿宋"/>
              </w:rPr>
            </w:pPr>
            <w:r>
              <w:rPr>
                <w:rFonts w:hint="eastAsia" w:ascii="仿宋" w:hAnsi="仿宋" w:eastAsia="仿宋" w:cs="仿宋"/>
                <w:sz w:val="24"/>
              </w:rPr>
              <w:t>1.有效的投标报价中的最低价为评标基准价，按照下列公式计算每个投标供应商的投标价格得分。</w:t>
            </w:r>
          </w:p>
          <w:p>
            <w:pPr>
              <w:widowControl/>
              <w:jc w:val="left"/>
              <w:textAlignment w:val="center"/>
              <w:rPr>
                <w:rFonts w:ascii="仿宋" w:hAnsi="仿宋" w:eastAsia="仿宋" w:cs="仿宋"/>
                <w:sz w:val="24"/>
              </w:rPr>
            </w:pPr>
            <w:r>
              <w:rPr>
                <w:rFonts w:hint="eastAsia" w:ascii="仿宋" w:hAnsi="仿宋" w:eastAsia="仿宋" w:cs="仿宋"/>
                <w:sz w:val="24"/>
              </w:rPr>
              <w:t>投标报价得分＝（评标基准价/投标报价）×50×100%。</w:t>
            </w:r>
          </w:p>
          <w:p>
            <w:pPr>
              <w:widowControl/>
              <w:jc w:val="left"/>
              <w:textAlignment w:val="center"/>
              <w:rPr>
                <w:rFonts w:ascii="宋体" w:hAnsi="宋体" w:cs="楷体_GB2312"/>
              </w:rPr>
            </w:pPr>
            <w:r>
              <w:rPr>
                <w:rFonts w:hint="eastAsia" w:ascii="仿宋" w:hAnsi="仿宋" w:eastAsia="仿宋" w:cs="仿宋"/>
                <w:sz w:val="24"/>
              </w:rPr>
              <w:t>2.在评标过程中，评标委员会发现投标供应商的报价明显低于其他投标报价，使得其投标报价可能低于其个别成本的，应当要求该投标供应商作出书面说明并提供相关证明材料。投标供应商不能合理说明或者不能提供相关证明材料的，由评标委员会认定该投标供应商以低于成本报价竞标，其投标应作废标处理。</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ascii="宋体" w:hAnsi="宋体" w:cs="楷体_GB2312"/>
              </w:rPr>
            </w:pPr>
          </w:p>
        </w:tc>
      </w:tr>
      <w:tr>
        <w:tblPrEx>
          <w:tblCellMar>
            <w:top w:w="0" w:type="dxa"/>
            <w:left w:w="108" w:type="dxa"/>
            <w:bottom w:w="0" w:type="dxa"/>
            <w:right w:w="108" w:type="dxa"/>
          </w:tblCellMar>
        </w:tblPrEx>
        <w:trPr>
          <w:trHeight w:val="845" w:hRule="atLeast"/>
        </w:trPr>
        <w:tc>
          <w:tcPr>
            <w:tcW w:w="5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ascii="宋体" w:hAnsi="宋体" w:cs="楷体_GB2312"/>
              </w:rPr>
            </w:pPr>
            <w:r>
              <w:rPr>
                <w:rFonts w:hint="eastAsia" w:ascii="宋体" w:hAnsi="宋体" w:cs="楷体_GB2312"/>
                <w:sz w:val="24"/>
              </w:rPr>
              <w:t>2</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仿宋" w:hAnsi="仿宋" w:eastAsia="仿宋" w:cs="仿宋"/>
                <w:color w:val="000000"/>
                <w:kern w:val="0"/>
                <w:lang w:bidi="ar"/>
              </w:rPr>
            </w:pPr>
            <w:r>
              <w:rPr>
                <w:rFonts w:hint="eastAsia" w:ascii="仿宋" w:hAnsi="仿宋" w:eastAsia="仿宋" w:cs="仿宋"/>
                <w:color w:val="000000"/>
                <w:kern w:val="0"/>
                <w:sz w:val="24"/>
                <w:lang w:bidi="ar"/>
              </w:rPr>
              <w:t>比赛样片</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仿宋" w:hAnsi="仿宋" w:eastAsia="仿宋" w:cs="仿宋"/>
                <w:color w:val="000000"/>
                <w:kern w:val="0"/>
                <w:lang w:bidi="ar"/>
              </w:rPr>
            </w:pPr>
            <w:r>
              <w:rPr>
                <w:rFonts w:hint="eastAsia" w:ascii="仿宋" w:hAnsi="仿宋" w:eastAsia="仿宋" w:cs="仿宋"/>
                <w:color w:val="000000"/>
                <w:kern w:val="0"/>
                <w:sz w:val="24"/>
                <w:lang w:bidi="ar"/>
              </w:rPr>
              <w:t>30</w:t>
            </w:r>
          </w:p>
        </w:tc>
        <w:tc>
          <w:tcPr>
            <w:tcW w:w="61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仿宋" w:hAnsi="仿宋" w:eastAsia="仿宋" w:cs="仿宋"/>
                <w:color w:val="000000"/>
                <w:kern w:val="0"/>
                <w:lang w:bidi="ar"/>
              </w:rPr>
            </w:pPr>
            <w:r>
              <w:rPr>
                <w:rFonts w:hint="eastAsia" w:ascii="仿宋" w:hAnsi="仿宋" w:eastAsia="仿宋" w:cs="仿宋"/>
                <w:color w:val="000000"/>
                <w:kern w:val="0"/>
                <w:sz w:val="24"/>
                <w:lang w:bidi="ar"/>
              </w:rPr>
              <w:t>投标人现场演示样片：拥有一支实力强大的创作团队，丰富的课程视频拍摄经验（1-30分），课程视频所表达的内容，拍摄创意独特，视角、拍摄方式多样，后期特效丰富（1-10分），不提供不得分。</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ascii="宋体" w:hAnsi="宋体" w:cs="楷体_GB2312"/>
              </w:rPr>
            </w:pPr>
          </w:p>
        </w:tc>
      </w:tr>
      <w:tr>
        <w:tblPrEx>
          <w:tblCellMar>
            <w:top w:w="0" w:type="dxa"/>
            <w:left w:w="108" w:type="dxa"/>
            <w:bottom w:w="0" w:type="dxa"/>
            <w:right w:w="108" w:type="dxa"/>
          </w:tblCellMar>
        </w:tblPrEx>
        <w:trPr>
          <w:trHeight w:val="845" w:hRule="atLeast"/>
        </w:trPr>
        <w:tc>
          <w:tcPr>
            <w:tcW w:w="5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ascii="宋体" w:hAnsi="宋体" w:cs="楷体_GB2312"/>
                <w:sz w:val="24"/>
              </w:rPr>
            </w:pPr>
            <w:r>
              <w:rPr>
                <w:rFonts w:hint="eastAsia" w:ascii="宋体" w:hAnsi="宋体" w:cs="楷体_GB2312"/>
                <w:sz w:val="24"/>
              </w:rPr>
              <w:t>3</w:t>
            </w:r>
          </w:p>
        </w:tc>
        <w:tc>
          <w:tcPr>
            <w:tcW w:w="81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专业服务经验</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30</w:t>
            </w:r>
          </w:p>
        </w:tc>
        <w:tc>
          <w:tcPr>
            <w:tcW w:w="61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提供能支撑混合式教学的教学平台（1-15分），熟悉教师教学能力比赛及教学规律的专家团队和技术人员（1-15分），不提供不得分。</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ascii="宋体" w:hAnsi="宋体" w:cs="楷体_GB2312"/>
              </w:rPr>
            </w:pPr>
          </w:p>
        </w:tc>
      </w:tr>
    </w:tbl>
    <w:p>
      <w:pPr>
        <w:spacing w:line="360" w:lineRule="auto"/>
        <w:rPr>
          <w:rFonts w:ascii="宋体" w:hAnsi="宋体" w:cs="宋体"/>
          <w:bCs/>
          <w:color w:val="000000"/>
          <w:kern w:val="0"/>
          <w:sz w:val="28"/>
          <w:szCs w:val="28"/>
          <w:lang w:bidi="ar"/>
        </w:rPr>
      </w:pPr>
    </w:p>
    <w:p>
      <w:pPr>
        <w:spacing w:line="360" w:lineRule="auto"/>
        <w:rPr>
          <w:rFonts w:hint="eastAsia" w:ascii="宋体" w:hAnsi="宋体" w:cs="宋体"/>
          <w:bCs/>
          <w:color w:val="000000"/>
          <w:kern w:val="0"/>
          <w:sz w:val="28"/>
          <w:szCs w:val="28"/>
          <w:lang w:bidi="ar"/>
        </w:rPr>
      </w:pPr>
    </w:p>
    <w:p>
      <w:pPr>
        <w:spacing w:line="360" w:lineRule="auto"/>
        <w:rPr>
          <w:rFonts w:ascii="宋体" w:hAnsi="宋体" w:cs="宋体"/>
          <w:bCs/>
          <w:color w:val="000000"/>
          <w:kern w:val="0"/>
          <w:sz w:val="28"/>
          <w:szCs w:val="28"/>
          <w:lang w:bidi="ar"/>
        </w:rPr>
      </w:pPr>
      <w:bookmarkStart w:id="0" w:name="_GoBack"/>
      <w:bookmarkEnd w:id="0"/>
      <w:r>
        <w:rPr>
          <w:rFonts w:hint="eastAsia" w:ascii="宋体" w:hAnsi="宋体" w:cs="宋体"/>
          <w:bCs/>
          <w:color w:val="000000"/>
          <w:kern w:val="0"/>
          <w:sz w:val="28"/>
          <w:szCs w:val="28"/>
          <w:lang w:bidi="ar"/>
        </w:rPr>
        <w:t>注：</w:t>
      </w:r>
    </w:p>
    <w:p>
      <w:pPr>
        <w:spacing w:line="360" w:lineRule="auto"/>
        <w:rPr>
          <w:rFonts w:ascii="宋体" w:hAnsi="宋体" w:cs="宋体"/>
          <w:bCs/>
          <w:color w:val="000000"/>
          <w:kern w:val="0"/>
          <w:sz w:val="28"/>
          <w:szCs w:val="28"/>
          <w:lang w:bidi="ar"/>
        </w:rPr>
      </w:pPr>
      <w:r>
        <w:rPr>
          <w:rFonts w:hint="eastAsia" w:ascii="宋体" w:hAnsi="宋体" w:cs="宋体"/>
          <w:bCs/>
          <w:color w:val="000000"/>
          <w:kern w:val="0"/>
          <w:sz w:val="28"/>
          <w:szCs w:val="28"/>
          <w:lang w:bidi="ar"/>
        </w:rPr>
        <w:t>1.潜在投标人按招标文件要求提供胶装的投标文件，密封后到开标现场提交。该项目采用综合评分法，得分最高的推荐为中标候选人。</w:t>
      </w:r>
    </w:p>
    <w:p>
      <w:pPr>
        <w:spacing w:line="360" w:lineRule="auto"/>
        <w:rPr>
          <w:rFonts w:ascii="宋体" w:hAnsi="宋体" w:cs="宋体"/>
          <w:bCs/>
          <w:color w:val="000000"/>
          <w:kern w:val="0"/>
          <w:sz w:val="28"/>
          <w:szCs w:val="28"/>
          <w:lang w:bidi="ar"/>
        </w:rPr>
      </w:pPr>
      <w:r>
        <w:rPr>
          <w:rFonts w:hint="eastAsia" w:ascii="宋体" w:hAnsi="宋体" w:cs="宋体"/>
          <w:bCs/>
          <w:color w:val="000000"/>
          <w:kern w:val="0"/>
          <w:sz w:val="28"/>
          <w:szCs w:val="28"/>
          <w:lang w:bidi="ar"/>
        </w:rPr>
        <w:t>2.潜在投标人现场提供“比赛样片”并配合演示。</w:t>
      </w:r>
    </w:p>
    <w:p>
      <w:pPr>
        <w:spacing w:line="360" w:lineRule="auto"/>
        <w:rPr>
          <w:rFonts w:ascii="宋体" w:hAnsi="宋体" w:cs="宋体"/>
          <w:bCs/>
          <w:color w:val="000000"/>
          <w:kern w:val="0"/>
          <w:sz w:val="28"/>
          <w:szCs w:val="28"/>
          <w:lang w:bidi="ar"/>
        </w:rPr>
      </w:pPr>
      <w:r>
        <w:rPr>
          <w:rFonts w:hint="eastAsia" w:ascii="宋体" w:hAnsi="宋体" w:cs="宋体"/>
          <w:bCs/>
          <w:color w:val="000000"/>
          <w:kern w:val="0"/>
          <w:sz w:val="28"/>
          <w:szCs w:val="28"/>
          <w:lang w:bidi="ar"/>
        </w:rPr>
        <w:t>3.中标方另支付项目专家论证费和评审费。</w:t>
      </w:r>
    </w:p>
    <w:p>
      <w:pPr>
        <w:spacing w:line="360" w:lineRule="auto"/>
        <w:rPr>
          <w:rFonts w:ascii="宋体" w:hAnsi="宋体" w:cs="宋体"/>
          <w:bCs/>
          <w:color w:val="000000"/>
          <w:kern w:val="0"/>
          <w:sz w:val="28"/>
          <w:szCs w:val="28"/>
          <w:lang w:bidi="ar"/>
        </w:rPr>
      </w:pPr>
      <w:r>
        <w:rPr>
          <w:rFonts w:hint="eastAsia" w:ascii="宋体" w:hAnsi="宋体" w:cs="宋体"/>
          <w:bCs/>
          <w:color w:val="000000"/>
          <w:kern w:val="0"/>
          <w:sz w:val="28"/>
          <w:szCs w:val="28"/>
          <w:lang w:bidi="ar"/>
        </w:rPr>
        <w:t>4.投标报价表附后。</w:t>
      </w:r>
    </w:p>
    <w:p>
      <w:pPr>
        <w:spacing w:line="360" w:lineRule="auto"/>
        <w:jc w:val="center"/>
        <w:rPr>
          <w:rFonts w:ascii="宋体" w:hAnsi="宋体" w:cs="宋体"/>
          <w:bCs/>
          <w:color w:val="000000"/>
          <w:kern w:val="0"/>
          <w:sz w:val="28"/>
          <w:szCs w:val="28"/>
          <w:lang w:bidi="ar"/>
        </w:rPr>
      </w:pPr>
      <w:r>
        <w:rPr>
          <w:rFonts w:hint="eastAsia" w:ascii="宋体" w:hAnsi="宋体" w:cs="宋体"/>
          <w:bCs/>
          <w:color w:val="000000"/>
          <w:kern w:val="0"/>
          <w:sz w:val="28"/>
          <w:szCs w:val="28"/>
          <w:lang w:bidi="ar"/>
        </w:rPr>
        <w:t xml:space="preserve">                 铜仁职业技术学院</w:t>
      </w:r>
    </w:p>
    <w:p>
      <w:pPr>
        <w:spacing w:line="360" w:lineRule="auto"/>
        <w:jc w:val="center"/>
        <w:rPr>
          <w:rFonts w:ascii="宋体" w:hAnsi="宋体" w:cs="宋体"/>
          <w:bCs/>
          <w:color w:val="000000"/>
          <w:kern w:val="0"/>
          <w:sz w:val="28"/>
          <w:szCs w:val="28"/>
          <w:lang w:bidi="ar"/>
        </w:rPr>
      </w:pPr>
      <w:r>
        <w:rPr>
          <w:rFonts w:hint="eastAsia" w:ascii="宋体" w:hAnsi="宋体" w:cs="宋体"/>
          <w:bCs/>
          <w:color w:val="000000"/>
          <w:kern w:val="0"/>
          <w:sz w:val="28"/>
          <w:szCs w:val="28"/>
          <w:lang w:bidi="ar"/>
        </w:rPr>
        <w:t xml:space="preserve">                 2024年4月19日</w:t>
      </w:r>
    </w:p>
    <w:p/>
    <w:p/>
    <w:p/>
    <w:p>
      <w:pPr>
        <w:rPr>
          <w:rFonts w:ascii="仿宋_GB2312" w:eastAsia="仿宋_GB2312"/>
          <w:sz w:val="32"/>
          <w:szCs w:val="32"/>
        </w:rPr>
      </w:pPr>
      <w:r>
        <w:rPr>
          <w:rFonts w:hint="eastAsia" w:ascii="仿宋_GB2312" w:eastAsia="仿宋_GB2312"/>
          <w:sz w:val="32"/>
          <w:szCs w:val="32"/>
        </w:rPr>
        <w:t>附件：</w:t>
      </w:r>
    </w:p>
    <w:p>
      <w:pPr>
        <w:jc w:val="center"/>
        <w:rPr>
          <w:rFonts w:ascii="方正小标宋简体" w:eastAsia="方正小标宋简体"/>
          <w:sz w:val="32"/>
          <w:szCs w:val="32"/>
        </w:rPr>
      </w:pPr>
      <w:r>
        <w:rPr>
          <w:rFonts w:hint="eastAsia" w:ascii="方正小标宋简体" w:eastAsia="方正小标宋简体"/>
          <w:sz w:val="32"/>
          <w:szCs w:val="32"/>
        </w:rPr>
        <w:t>投标报价表（单位：元）</w:t>
      </w:r>
    </w:p>
    <w:p>
      <w:pPr>
        <w:rPr>
          <w:rFonts w:ascii="仿宋_GB2312" w:eastAsia="仿宋_GB2312"/>
          <w:sz w:val="30"/>
          <w:szCs w:val="30"/>
        </w:rPr>
      </w:pPr>
      <w:r>
        <w:rPr>
          <w:rFonts w:hint="eastAsia" w:ascii="仿宋_GB2312" w:eastAsia="仿宋_GB2312"/>
          <w:sz w:val="30"/>
          <w:szCs w:val="30"/>
        </w:rPr>
        <w:t>响应单位：（盖公章）</w:t>
      </w:r>
    </w:p>
    <w:tbl>
      <w:tblPr>
        <w:tblStyle w:val="18"/>
        <w:tblW w:w="8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6"/>
        <w:gridCol w:w="2748"/>
        <w:gridCol w:w="2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trPr>
        <w:tc>
          <w:tcPr>
            <w:tcW w:w="2996" w:type="dxa"/>
          </w:tcPr>
          <w:p>
            <w:pPr>
              <w:jc w:val="center"/>
              <w:rPr>
                <w:rFonts w:ascii="黑体" w:hAnsi="黑体" w:eastAsia="黑体"/>
                <w:sz w:val="24"/>
              </w:rPr>
            </w:pPr>
            <w:r>
              <w:rPr>
                <w:rFonts w:hint="eastAsia" w:ascii="黑体" w:hAnsi="黑体" w:eastAsia="黑体"/>
                <w:sz w:val="24"/>
              </w:rPr>
              <w:t>2024年教师教学能力比赛视频拍摄服务</w:t>
            </w:r>
          </w:p>
        </w:tc>
        <w:tc>
          <w:tcPr>
            <w:tcW w:w="2748" w:type="dxa"/>
          </w:tcPr>
          <w:p>
            <w:pPr>
              <w:jc w:val="center"/>
              <w:rPr>
                <w:rFonts w:ascii="黑体" w:hAnsi="黑体" w:eastAsia="黑体"/>
                <w:sz w:val="24"/>
              </w:rPr>
            </w:pPr>
            <w:r>
              <w:rPr>
                <w:rFonts w:hint="eastAsia" w:ascii="黑体" w:hAnsi="黑体" w:eastAsia="黑体"/>
                <w:sz w:val="24"/>
              </w:rPr>
              <w:t>每支参赛团队作品拍摄单价</w:t>
            </w:r>
          </w:p>
        </w:tc>
        <w:tc>
          <w:tcPr>
            <w:tcW w:w="2737" w:type="dxa"/>
          </w:tcPr>
          <w:p>
            <w:pPr>
              <w:jc w:val="center"/>
              <w:rPr>
                <w:rFonts w:ascii="黑体" w:hAnsi="黑体" w:eastAsia="黑体"/>
                <w:sz w:val="24"/>
              </w:rPr>
            </w:pPr>
            <w:r>
              <w:rPr>
                <w:rFonts w:hint="eastAsia" w:ascii="黑体" w:hAnsi="黑体" w:eastAsia="黑体"/>
                <w:sz w:val="24"/>
              </w:rPr>
              <w:t>5每支参赛团队作品拍摄总价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996" w:type="dxa"/>
          </w:tcPr>
          <w:p/>
        </w:tc>
        <w:tc>
          <w:tcPr>
            <w:tcW w:w="2748" w:type="dxa"/>
          </w:tcPr>
          <w:p/>
        </w:tc>
        <w:tc>
          <w:tcPr>
            <w:tcW w:w="2737" w:type="dxa"/>
          </w:tcPr>
          <w:p/>
        </w:tc>
      </w:tr>
    </w:tbl>
    <w:p/>
    <w:sectPr>
      <w:pgSz w:w="11906" w:h="16838"/>
      <w:pgMar w:top="1440" w:right="1800" w:bottom="1276"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A0385E"/>
    <w:multiLevelType w:val="multilevel"/>
    <w:tmpl w:val="30A0385E"/>
    <w:lvl w:ilvl="0" w:tentative="0">
      <w:start w:val="1"/>
      <w:numFmt w:val="japaneseCounting"/>
      <w:lvlText w:val="%1、"/>
      <w:lvlJc w:val="left"/>
      <w:pPr>
        <w:ind w:left="720" w:hanging="720"/>
      </w:pPr>
      <w:rPr>
        <w:rFonts w:hint="default"/>
        <w:b/>
        <w:sz w:val="32"/>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iNGUyZDZjZDU1Nzc2YzRkYjU4ZjJiYjI0Yzg3YTYifQ=="/>
  </w:docVars>
  <w:rsids>
    <w:rsidRoot w:val="002634A1"/>
    <w:rsid w:val="00006EED"/>
    <w:rsid w:val="00037D49"/>
    <w:rsid w:val="000437E0"/>
    <w:rsid w:val="00091E41"/>
    <w:rsid w:val="000F0CBA"/>
    <w:rsid w:val="00122F85"/>
    <w:rsid w:val="00132A5C"/>
    <w:rsid w:val="001602F1"/>
    <w:rsid w:val="00243F45"/>
    <w:rsid w:val="002634A1"/>
    <w:rsid w:val="002736BE"/>
    <w:rsid w:val="0028750B"/>
    <w:rsid w:val="00295545"/>
    <w:rsid w:val="0030542A"/>
    <w:rsid w:val="00354CF4"/>
    <w:rsid w:val="00367970"/>
    <w:rsid w:val="00370181"/>
    <w:rsid w:val="00401665"/>
    <w:rsid w:val="00450AE9"/>
    <w:rsid w:val="00483213"/>
    <w:rsid w:val="0049050A"/>
    <w:rsid w:val="00493655"/>
    <w:rsid w:val="004F2E9B"/>
    <w:rsid w:val="0052508F"/>
    <w:rsid w:val="00542A50"/>
    <w:rsid w:val="005B65DE"/>
    <w:rsid w:val="0070187E"/>
    <w:rsid w:val="00784401"/>
    <w:rsid w:val="007D6B9F"/>
    <w:rsid w:val="007F2DFD"/>
    <w:rsid w:val="00810611"/>
    <w:rsid w:val="00897A80"/>
    <w:rsid w:val="00986C95"/>
    <w:rsid w:val="009A5D6A"/>
    <w:rsid w:val="009E37FB"/>
    <w:rsid w:val="00A01B8B"/>
    <w:rsid w:val="00A12B8C"/>
    <w:rsid w:val="00A208F6"/>
    <w:rsid w:val="00A31EE7"/>
    <w:rsid w:val="00A93C3B"/>
    <w:rsid w:val="00AA768E"/>
    <w:rsid w:val="00B1576B"/>
    <w:rsid w:val="00B84A4C"/>
    <w:rsid w:val="00BC2234"/>
    <w:rsid w:val="00BE700B"/>
    <w:rsid w:val="00C2376D"/>
    <w:rsid w:val="00C3582B"/>
    <w:rsid w:val="00C44110"/>
    <w:rsid w:val="00CB0F17"/>
    <w:rsid w:val="00D24152"/>
    <w:rsid w:val="00D358A0"/>
    <w:rsid w:val="00D54DBE"/>
    <w:rsid w:val="00D857F4"/>
    <w:rsid w:val="00DE3ACA"/>
    <w:rsid w:val="00E20AA4"/>
    <w:rsid w:val="00E57D05"/>
    <w:rsid w:val="00E86034"/>
    <w:rsid w:val="00F73D35"/>
    <w:rsid w:val="00FC54AA"/>
    <w:rsid w:val="06A24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0" w:line="240" w:lineRule="auto"/>
      <w:jc w:val="both"/>
    </w:pPr>
    <w:rPr>
      <w:rFonts w:ascii="Calibri" w:hAnsi="Calibri" w:eastAsia="宋体" w:cs="Times New Roman"/>
      <w:kern w:val="2"/>
      <w:sz w:val="21"/>
      <w:szCs w:val="24"/>
      <w:lang w:val="en-US" w:eastAsia="zh-CN" w:bidi="ar-SA"/>
      <w14:ligatures w14:val="none"/>
    </w:rPr>
  </w:style>
  <w:style w:type="paragraph" w:styleId="2">
    <w:name w:val="heading 1"/>
    <w:basedOn w:val="1"/>
    <w:next w:val="1"/>
    <w:link w:val="20"/>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4"/>
    <w:autoRedefine/>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5"/>
    <w:autoRedefine/>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6"/>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autoRedefine/>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11">
    <w:name w:val="Plain Text"/>
    <w:basedOn w:val="1"/>
    <w:link w:val="38"/>
    <w:autoRedefine/>
    <w:qFormat/>
    <w:uiPriority w:val="0"/>
    <w:rPr>
      <w:rFonts w:ascii="宋体" w:hAnsi="Courier New" w:cs="Courier New"/>
      <w:szCs w:val="21"/>
    </w:rPr>
  </w:style>
  <w:style w:type="paragraph" w:styleId="12">
    <w:name w:val="footer"/>
    <w:basedOn w:val="1"/>
    <w:link w:val="40"/>
    <w:autoRedefine/>
    <w:unhideWhenUsed/>
    <w:qFormat/>
    <w:uiPriority w:val="99"/>
    <w:pPr>
      <w:tabs>
        <w:tab w:val="center" w:pos="4153"/>
        <w:tab w:val="right" w:pos="8306"/>
      </w:tabs>
      <w:snapToGrid w:val="0"/>
      <w:jc w:val="left"/>
    </w:pPr>
    <w:rPr>
      <w:sz w:val="18"/>
      <w:szCs w:val="18"/>
    </w:rPr>
  </w:style>
  <w:style w:type="paragraph" w:styleId="13">
    <w:name w:val="header"/>
    <w:basedOn w:val="1"/>
    <w:link w:val="39"/>
    <w:autoRedefine/>
    <w:unhideWhenUsed/>
    <w:qFormat/>
    <w:uiPriority w:val="99"/>
    <w:pPr>
      <w:tabs>
        <w:tab w:val="center" w:pos="4153"/>
        <w:tab w:val="right" w:pos="8306"/>
      </w:tabs>
      <w:snapToGrid w:val="0"/>
      <w:jc w:val="center"/>
    </w:pPr>
    <w:rPr>
      <w:sz w:val="18"/>
      <w:szCs w:val="18"/>
    </w:rPr>
  </w:style>
  <w:style w:type="paragraph" w:styleId="14">
    <w:name w:val="Subtitle"/>
    <w:basedOn w:val="1"/>
    <w:next w:val="1"/>
    <w:link w:val="30"/>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link w:val="29"/>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8">
    <w:name w:val="Table Grid"/>
    <w:basedOn w:val="1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1 字符"/>
    <w:basedOn w:val="19"/>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9"/>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9"/>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9"/>
    <w:link w:val="5"/>
    <w:autoRedefine/>
    <w:semiHidden/>
    <w:qFormat/>
    <w:uiPriority w:val="9"/>
    <w:rPr>
      <w:rFonts w:cstheme="majorBidi"/>
      <w:color w:val="104862" w:themeColor="accent1" w:themeShade="BF"/>
      <w:sz w:val="28"/>
      <w:szCs w:val="28"/>
    </w:rPr>
  </w:style>
  <w:style w:type="character" w:customStyle="1" w:styleId="24">
    <w:name w:val="标题 5 字符"/>
    <w:basedOn w:val="19"/>
    <w:link w:val="6"/>
    <w:autoRedefine/>
    <w:semiHidden/>
    <w:qFormat/>
    <w:uiPriority w:val="9"/>
    <w:rPr>
      <w:rFonts w:cstheme="majorBidi"/>
      <w:color w:val="104862" w:themeColor="accent1" w:themeShade="BF"/>
      <w:sz w:val="24"/>
    </w:rPr>
  </w:style>
  <w:style w:type="character" w:customStyle="1" w:styleId="25">
    <w:name w:val="标题 6 字符"/>
    <w:basedOn w:val="19"/>
    <w:link w:val="7"/>
    <w:autoRedefine/>
    <w:semiHidden/>
    <w:qFormat/>
    <w:uiPriority w:val="9"/>
    <w:rPr>
      <w:rFonts w:cstheme="majorBidi"/>
      <w:b/>
      <w:bCs/>
      <w:color w:val="104862" w:themeColor="accent1" w:themeShade="BF"/>
    </w:rPr>
  </w:style>
  <w:style w:type="character" w:customStyle="1" w:styleId="26">
    <w:name w:val="标题 7 字符"/>
    <w:basedOn w:val="19"/>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9"/>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9"/>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9"/>
    <w:link w:val="16"/>
    <w:autoRedefine/>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9"/>
    <w:link w:val="14"/>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autoRedefine/>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9"/>
    <w:link w:val="31"/>
    <w:autoRedefine/>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autoRedefine/>
    <w:qFormat/>
    <w:uiPriority w:val="34"/>
    <w:pPr>
      <w:ind w:left="720"/>
      <w:contextualSpacing/>
    </w:pPr>
  </w:style>
  <w:style w:type="character" w:customStyle="1" w:styleId="34">
    <w:name w:val="Intense Emphasis"/>
    <w:basedOn w:val="19"/>
    <w:autoRedefine/>
    <w:qFormat/>
    <w:uiPriority w:val="21"/>
    <w:rPr>
      <w:i/>
      <w:iCs/>
      <w:color w:val="104862" w:themeColor="accent1" w:themeShade="BF"/>
    </w:rPr>
  </w:style>
  <w:style w:type="paragraph" w:styleId="35">
    <w:name w:val="Intense Quote"/>
    <w:basedOn w:val="1"/>
    <w:next w:val="1"/>
    <w:link w:val="36"/>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9"/>
    <w:link w:val="35"/>
    <w:autoRedefine/>
    <w:qFormat/>
    <w:uiPriority w:val="30"/>
    <w:rPr>
      <w:i/>
      <w:iCs/>
      <w:color w:val="104862" w:themeColor="accent1" w:themeShade="BF"/>
    </w:rPr>
  </w:style>
  <w:style w:type="character" w:customStyle="1" w:styleId="37">
    <w:name w:val="Intense Reference"/>
    <w:basedOn w:val="19"/>
    <w:autoRedefine/>
    <w:qFormat/>
    <w:uiPriority w:val="32"/>
    <w:rPr>
      <w:b/>
      <w:bCs/>
      <w:smallCaps/>
      <w:color w:val="104862" w:themeColor="accent1" w:themeShade="BF"/>
      <w:spacing w:val="5"/>
    </w:rPr>
  </w:style>
  <w:style w:type="character" w:customStyle="1" w:styleId="38">
    <w:name w:val="纯文本 字符"/>
    <w:basedOn w:val="19"/>
    <w:link w:val="11"/>
    <w:autoRedefine/>
    <w:qFormat/>
    <w:uiPriority w:val="0"/>
    <w:rPr>
      <w:rFonts w:ascii="宋体" w:hAnsi="Courier New" w:eastAsia="宋体" w:cs="Courier New"/>
      <w:sz w:val="21"/>
      <w:szCs w:val="21"/>
      <w14:ligatures w14:val="none"/>
    </w:rPr>
  </w:style>
  <w:style w:type="character" w:customStyle="1" w:styleId="39">
    <w:name w:val="页眉 字符"/>
    <w:basedOn w:val="19"/>
    <w:link w:val="13"/>
    <w:autoRedefine/>
    <w:qFormat/>
    <w:uiPriority w:val="99"/>
    <w:rPr>
      <w:rFonts w:ascii="Calibri" w:hAnsi="Calibri" w:eastAsia="宋体" w:cs="Times New Roman"/>
      <w:sz w:val="18"/>
      <w:szCs w:val="18"/>
      <w14:ligatures w14:val="none"/>
    </w:rPr>
  </w:style>
  <w:style w:type="character" w:customStyle="1" w:styleId="40">
    <w:name w:val="页脚 字符"/>
    <w:basedOn w:val="19"/>
    <w:link w:val="12"/>
    <w:autoRedefine/>
    <w:qFormat/>
    <w:uiPriority w:val="99"/>
    <w:rPr>
      <w:rFonts w:ascii="Calibri" w:hAnsi="Calibri" w:eastAsia="宋体" w:cs="Times New Roman"/>
      <w:sz w:val="18"/>
      <w:szCs w:val="18"/>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535</Words>
  <Characters>3054</Characters>
  <Lines>25</Lines>
  <Paragraphs>7</Paragraphs>
  <TotalTime>41</TotalTime>
  <ScaleCrop>false</ScaleCrop>
  <LinksUpToDate>false</LinksUpToDate>
  <CharactersWithSpaces>3582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2024-04-19T04:47:00Z</dcterms:created>
  <dc:creator>Cheer QI</dc:creator>
  <cp:lastModifiedBy>邛江丶  小浩</cp:lastModifiedBy>
  <dcterms:modified xsi:type="dcterms:W3CDTF">2024-04-19T07:58:25Z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B02291E39C6B4D9B9BD157971B883372_12</vt:lpwstr>
  </property>
</Properties>
</file>