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36"/>
          <w:szCs w:val="36"/>
        </w:rPr>
      </w:pPr>
      <w:r>
        <w:rPr>
          <w:rFonts w:hint="eastAsia"/>
          <w:b/>
          <w:sz w:val="36"/>
          <w:szCs w:val="36"/>
        </w:rPr>
        <w:drawing>
          <wp:anchor distT="0" distB="0" distL="114300" distR="114300" simplePos="0" relativeHeight="251660288" behindDoc="0" locked="0" layoutInCell="1" allowOverlap="1">
            <wp:simplePos x="0" y="0"/>
            <wp:positionH relativeFrom="column">
              <wp:posOffset>81915</wp:posOffset>
            </wp:positionH>
            <wp:positionV relativeFrom="paragraph">
              <wp:posOffset>-19050</wp:posOffset>
            </wp:positionV>
            <wp:extent cx="3458845" cy="904875"/>
            <wp:effectExtent l="0" t="0" r="825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75947" cy="909337"/>
                    </a:xfrm>
                    <a:prstGeom prst="rect">
                      <a:avLst/>
                    </a:prstGeom>
                    <a:noFill/>
                    <a:ln>
                      <a:noFill/>
                    </a:ln>
                  </pic:spPr>
                </pic:pic>
              </a:graphicData>
            </a:graphic>
          </wp:anchor>
        </w:drawing>
      </w:r>
    </w:p>
    <w:p>
      <w:pPr>
        <w:spacing w:line="440" w:lineRule="exact"/>
        <w:jc w:val="center"/>
        <w:rPr>
          <w:b/>
          <w:sz w:val="36"/>
          <w:szCs w:val="36"/>
        </w:rPr>
      </w:pPr>
    </w:p>
    <w:p>
      <w:pPr>
        <w:spacing w:line="440" w:lineRule="exact"/>
        <w:jc w:val="center"/>
        <w:rPr>
          <w:b/>
          <w:sz w:val="36"/>
          <w:szCs w:val="36"/>
        </w:rPr>
      </w:pPr>
    </w:p>
    <w:p>
      <w:pPr>
        <w:spacing w:line="440" w:lineRule="exact"/>
        <w:jc w:val="center"/>
        <w:rPr>
          <w:b/>
          <w:sz w:val="36"/>
          <w:szCs w:val="36"/>
        </w:rPr>
      </w:pPr>
    </w:p>
    <w:p>
      <w:pPr>
        <w:spacing w:line="440" w:lineRule="exact"/>
        <w:jc w:val="center"/>
        <w:rPr>
          <w:b/>
          <w:sz w:val="36"/>
          <w:szCs w:val="36"/>
        </w:rPr>
      </w:pPr>
    </w:p>
    <w:p>
      <w:pPr>
        <w:ind w:firstLine="560"/>
        <w:jc w:val="center"/>
        <w:rPr>
          <w:rFonts w:hint="eastAsia" w:ascii="方正小标宋简体" w:hAnsi="方正小标宋简体" w:eastAsia="方正小标宋简体" w:cs="方正小标宋简体"/>
          <w:b/>
          <w:sz w:val="40"/>
          <w:szCs w:val="40"/>
        </w:rPr>
      </w:pPr>
    </w:p>
    <w:p>
      <w:pPr>
        <w:ind w:firstLine="560"/>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设备</w:t>
      </w:r>
      <w:r>
        <w:rPr>
          <w:rFonts w:hint="eastAsia" w:ascii="方正小标宋简体" w:hAnsi="方正小标宋简体" w:eastAsia="方正小标宋简体" w:cs="方正小标宋简体"/>
          <w:b/>
          <w:sz w:val="40"/>
          <w:szCs w:val="40"/>
          <w:lang w:val="en-US" w:eastAsia="zh-CN"/>
        </w:rPr>
        <w:t>采购</w:t>
      </w:r>
      <w:r>
        <w:rPr>
          <w:rFonts w:hint="eastAsia" w:ascii="方正小标宋简体" w:hAnsi="方正小标宋简体" w:eastAsia="方正小标宋简体" w:cs="方正小标宋简体"/>
          <w:b/>
          <w:sz w:val="40"/>
          <w:szCs w:val="40"/>
        </w:rPr>
        <w:t>清单</w:t>
      </w:r>
    </w:p>
    <w:p>
      <w:pPr>
        <w:ind w:firstLine="560"/>
        <w:jc w:val="center"/>
        <w:rPr>
          <w:rFonts w:hint="eastAsia" w:cs="仿宋_GB2312" w:asciiTheme="minorEastAsia" w:hAnsiTheme="minorEastAsia" w:eastAsiaTheme="minorEastAsia"/>
          <w:b/>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809"/>
        <w:gridCol w:w="838"/>
        <w:gridCol w:w="1514"/>
        <w:gridCol w:w="61"/>
        <w:gridCol w:w="4286"/>
        <w:gridCol w:w="397"/>
        <w:gridCol w:w="486"/>
        <w:gridCol w:w="48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7"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809"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设备名称</w:t>
            </w:r>
          </w:p>
        </w:tc>
        <w:tc>
          <w:tcPr>
            <w:tcW w:w="838" w:type="dxa"/>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val="en-US" w:eastAsia="zh-CN"/>
              </w:rPr>
              <w:t>品牌</w:t>
            </w:r>
          </w:p>
        </w:tc>
        <w:tc>
          <w:tcPr>
            <w:tcW w:w="1575" w:type="dxa"/>
            <w:gridSpan w:val="2"/>
            <w:vAlign w:val="center"/>
          </w:tcPr>
          <w:p>
            <w:pPr>
              <w:jc w:val="center"/>
              <w:rPr>
                <w:rFonts w:hint="eastAsia"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型号</w:t>
            </w:r>
          </w:p>
        </w:tc>
        <w:tc>
          <w:tcPr>
            <w:tcW w:w="4286"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规格型号或主要参数</w:t>
            </w:r>
          </w:p>
        </w:tc>
        <w:tc>
          <w:tcPr>
            <w:tcW w:w="397"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单位</w:t>
            </w:r>
          </w:p>
        </w:tc>
        <w:tc>
          <w:tcPr>
            <w:tcW w:w="486"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数量</w:t>
            </w:r>
          </w:p>
        </w:tc>
        <w:tc>
          <w:tcPr>
            <w:tcW w:w="488"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单价(万元)</w:t>
            </w:r>
          </w:p>
        </w:tc>
        <w:tc>
          <w:tcPr>
            <w:tcW w:w="578" w:type="dxa"/>
            <w:vAlign w:val="center"/>
          </w:tcPr>
          <w:p>
            <w:pP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7" w:type="dxa"/>
          </w:tcPr>
          <w:p>
            <w:pP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809"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电脑</w:t>
            </w:r>
          </w:p>
        </w:tc>
        <w:tc>
          <w:tcPr>
            <w:tcW w:w="838"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75" w:type="dxa"/>
            <w:gridSpan w:val="2"/>
            <w:vAlign w:val="center"/>
          </w:tcPr>
          <w:p>
            <w:pPr>
              <w:spacing w:line="240" w:lineRule="auto"/>
              <w:rPr>
                <w:rFonts w:hint="eastAsia" w:asciiTheme="minorEastAsia" w:hAnsiTheme="minorEastAsia" w:eastAsiaTheme="minorEastAsia"/>
                <w:sz w:val="18"/>
                <w:szCs w:val="18"/>
              </w:rPr>
            </w:pPr>
          </w:p>
        </w:tc>
        <w:tc>
          <w:tcPr>
            <w:tcW w:w="428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CPU：≥Intel Core i7-10700 8核处理器（主频≥3.0GHz,缓存≥12MB）以上，</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主板：Intel B460及以上芯片组</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内存：8G DDR4 2666MHz 内存，最大支持32G内存容量；</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显卡：原厂2G显存独立显卡以上，VGA+HDMI输出接口；</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声卡：集成HD Audio，支持5.1声道（提供前2后3共5个音频接口）；</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硬盘：</w:t>
            </w:r>
            <w:r>
              <w:rPr>
                <w:rFonts w:hint="eastAsia" w:asciiTheme="minorEastAsia" w:hAnsiTheme="minorEastAsia" w:eastAsiaTheme="minorEastAsia"/>
                <w:sz w:val="18"/>
                <w:szCs w:val="18"/>
                <w:lang w:val="en-US" w:eastAsia="zh-CN"/>
              </w:rPr>
              <w:t>原厂原装</w:t>
            </w:r>
            <w:r>
              <w:rPr>
                <w:rFonts w:hint="eastAsia" w:asciiTheme="minorEastAsia" w:hAnsiTheme="minorEastAsia" w:eastAsiaTheme="minorEastAsia"/>
                <w:sz w:val="18"/>
                <w:szCs w:val="18"/>
              </w:rPr>
              <w:t xml:space="preserve">128GB SSD </w:t>
            </w:r>
            <w:r>
              <w:rPr>
                <w:rFonts w:hint="eastAsia" w:asciiTheme="minorEastAsia" w:hAnsiTheme="minorEastAsia" w:eastAsiaTheme="minorEastAsia"/>
                <w:sz w:val="18"/>
                <w:szCs w:val="18"/>
                <w:lang w:val="en-US" w:eastAsia="zh-CN"/>
              </w:rPr>
              <w:t>M.2固态</w:t>
            </w:r>
            <w:r>
              <w:rPr>
                <w:rFonts w:hint="eastAsia" w:asciiTheme="minorEastAsia" w:hAnsiTheme="minorEastAsia" w:eastAsiaTheme="minorEastAsia"/>
                <w:sz w:val="18"/>
                <w:szCs w:val="18"/>
              </w:rPr>
              <w:t>硬盘+1TB SATA硬盘；</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网卡：集成10/100/1000M以太网卡；</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扩展槽：1个PCI-E*16、2个PCI-E*1；1个PCI槽位及以上</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显示器：与主机配套品牌，23寸IPS LED显示器，分辨率1920x1080，屏幕比例16：9，亮度不低于250，对比以上度不低于1000:1，响应时间5ms，VGA+DVI接口，获得TCO认证、能源之星Energy Star认证；</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键盘、鼠标：防水键盘、抗菌鼠标； 后置安全盖板，防止键盘、鼠标线缆随意拔走 ，</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接口：10个USB接口(前置6个USB 3.1 G1，后置4个USB 2.0)、1组PS/2接口、1个串口、VGA+HDMI接口（VGA非转接）；</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电源：须满足85% Plus高能效转换比电源； </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操作系统：根据需要预装正版 Win7 64或以上版本 操作系统 ，提供随机驱动程序。</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安全特性：USB屏蔽技术，仅识别USB键盘、鼠标，无法识别USB读取设备，有效防止数据泄露；  </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机箱：标准MATX立式机箱，采用蜂窝结构，散热更为有效；支持强力散热风扇，能够达到有效降解甲醛、净化空气的效果（投标时提供第三方检测机构的证明文件）机箱不大于16L，顶置提手，方便搬运，顶置电源开关键，方便使用； </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随机应用系统：提供非加插保护卡硬件实现的软件应用功能，原厂智能云教室应用，硬盘保护功能，实现网络同传、云部署功能镜像集中管理和压缩上传，支持跨网段，断点续传，不停机后台自动部署。</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认证及服务：3C 、节能认证，平均无故障时间（MTBF）不低于100万小时；投标台式机产品通过防辐射骚扰认证，小于标准限值7dB，并提供国家权威机构（CNAS认可的检测机构）的检验证书，投标产品符合最新一期政府采购节能产品目录，获得中国合格评定认可委员会（CNAS）实验室认可证书 ,制造厂商设计中心入围国家级工业设计中心。</w:t>
            </w:r>
          </w:p>
        </w:tc>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486" w:type="dxa"/>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6</w:t>
            </w:r>
            <w:r>
              <w:rPr>
                <w:rFonts w:hint="eastAsia" w:asciiTheme="minorEastAsia" w:hAnsiTheme="minorEastAsia" w:eastAsiaTheme="minorEastAsia"/>
                <w:sz w:val="18"/>
                <w:szCs w:val="18"/>
              </w:rPr>
              <w:t>1</w:t>
            </w:r>
          </w:p>
        </w:tc>
        <w:tc>
          <w:tcPr>
            <w:tcW w:w="488" w:type="dxa"/>
            <w:vAlign w:val="center"/>
          </w:tcPr>
          <w:p>
            <w:pPr>
              <w:jc w:val="center"/>
              <w:rPr>
                <w:sz w:val="18"/>
                <w:szCs w:val="18"/>
              </w:rPr>
            </w:pPr>
          </w:p>
        </w:tc>
        <w:tc>
          <w:tcPr>
            <w:tcW w:w="57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809"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学生电脑桌凳</w:t>
            </w:r>
          </w:p>
        </w:tc>
        <w:tc>
          <w:tcPr>
            <w:tcW w:w="838"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75" w:type="dxa"/>
            <w:gridSpan w:val="2"/>
            <w:vAlign w:val="center"/>
          </w:tcPr>
          <w:p>
            <w:pPr>
              <w:ind w:firstLine="225" w:firstLineChars="150"/>
              <w:rPr>
                <w:rFonts w:hint="eastAsia" w:ascii="微软雅黑" w:hAnsi="微软雅黑" w:eastAsia="微软雅黑"/>
                <w:color w:val="000000"/>
                <w:sz w:val="15"/>
                <w:szCs w:val="15"/>
              </w:rPr>
            </w:pPr>
          </w:p>
        </w:tc>
        <w:tc>
          <w:tcPr>
            <w:tcW w:w="4286" w:type="dxa"/>
            <w:vAlign w:val="center"/>
          </w:tcPr>
          <w:p>
            <w:pPr>
              <w:spacing w:line="240" w:lineRule="auto"/>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定制六边形电脑桌（11张）：（根据校方要求具体定制，具体尺寸以实际设计为准）</w:t>
            </w:r>
          </w:p>
          <w:p>
            <w:pPr>
              <w:rPr>
                <w:rFonts w:ascii="宋体" w:cs="宋体"/>
                <w:b/>
                <w:color w:val="000000"/>
                <w:kern w:val="0"/>
                <w:sz w:val="18"/>
                <w:szCs w:val="18"/>
              </w:rPr>
            </w:pPr>
            <w:r>
              <w:rPr>
                <w:rFonts w:ascii="宋体" w:cs="宋体"/>
                <w:color w:val="000000"/>
                <w:kern w:val="0"/>
                <w:sz w:val="24"/>
              </w:rPr>
              <w:drawing>
                <wp:anchor distT="0" distB="0" distL="114300" distR="114300" simplePos="0" relativeHeight="251659264" behindDoc="0" locked="0" layoutInCell="1" allowOverlap="1">
                  <wp:simplePos x="0" y="0"/>
                  <wp:positionH relativeFrom="column">
                    <wp:posOffset>-2366645</wp:posOffset>
                  </wp:positionH>
                  <wp:positionV relativeFrom="paragraph">
                    <wp:posOffset>113030</wp:posOffset>
                  </wp:positionV>
                  <wp:extent cx="2238375" cy="209550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38375" cy="2095500"/>
                          </a:xfrm>
                          <a:prstGeom prst="rect">
                            <a:avLst/>
                          </a:prstGeom>
                          <a:noFill/>
                          <a:ln>
                            <a:noFill/>
                          </a:ln>
                        </pic:spPr>
                      </pic:pic>
                    </a:graphicData>
                  </a:graphic>
                </wp:anchor>
              </w:drawing>
            </w:r>
            <w:r>
              <w:rPr>
                <w:rFonts w:hint="eastAsia" w:ascii="宋体" w:hAnsi="宋体" w:cs="宋体"/>
                <w:b/>
                <w:color w:val="000000"/>
                <w:kern w:val="0"/>
                <w:sz w:val="18"/>
                <w:szCs w:val="18"/>
              </w:rPr>
              <w:t>见参考图</w:t>
            </w:r>
          </w:p>
          <w:p>
            <w:pPr>
              <w:spacing w:line="240" w:lineRule="exact"/>
              <w:rPr>
                <w:rFonts w:ascii="宋体"/>
                <w:color w:val="000000"/>
                <w:sz w:val="15"/>
                <w:szCs w:val="15"/>
              </w:rPr>
            </w:pPr>
            <w:r>
              <w:rPr>
                <w:rFonts w:hint="eastAsia" w:ascii="宋体" w:hAnsi="宋体" w:cs="宋体"/>
                <w:b/>
                <w:color w:val="000000"/>
                <w:kern w:val="0"/>
                <w:sz w:val="18"/>
                <w:szCs w:val="18"/>
              </w:rPr>
              <w:t>六边形电脑桌：</w:t>
            </w:r>
            <w:r>
              <w:rPr>
                <w:rFonts w:hint="eastAsia" w:ascii="微软雅黑" w:hAnsi="微软雅黑" w:eastAsia="微软雅黑"/>
                <w:color w:val="000000"/>
                <w:sz w:val="15"/>
                <w:szCs w:val="15"/>
              </w:rPr>
              <w:t>（1）六边形电脑桌桌面标配为优质2.5cm厚三聚氰胺板，保证桌面平整，聚氰胺饰面，板厚25</w:t>
            </w:r>
            <w:r>
              <w:rPr>
                <w:rFonts w:hint="eastAsia" w:ascii="宋体" w:hAnsi="宋体" w:cs="宋体"/>
                <w:color w:val="000000"/>
                <w:sz w:val="15"/>
                <w:szCs w:val="15"/>
              </w:rPr>
              <w:t>㎜</w:t>
            </w:r>
            <w:r>
              <w:rPr>
                <w:rFonts w:hint="eastAsia" w:ascii="微软雅黑" w:hAnsi="微软雅黑" w:eastAsia="微软雅黑"/>
                <w:color w:val="000000"/>
                <w:sz w:val="15"/>
                <w:szCs w:val="15"/>
              </w:rPr>
              <w:t xml:space="preserve"> PVC封边，边条厚度1.2</w:t>
            </w:r>
            <w:r>
              <w:rPr>
                <w:rFonts w:hint="eastAsia" w:ascii="宋体" w:hAnsi="宋体" w:cs="宋体"/>
                <w:color w:val="000000"/>
                <w:sz w:val="15"/>
                <w:szCs w:val="15"/>
              </w:rPr>
              <w:t>㎜</w:t>
            </w:r>
            <w:r>
              <w:rPr>
                <w:rFonts w:hint="eastAsia" w:ascii="微软雅黑" w:hAnsi="微软雅黑" w:eastAsia="微软雅黑"/>
                <w:color w:val="000000"/>
                <w:sz w:val="15"/>
                <w:szCs w:val="15"/>
              </w:rPr>
              <w:t xml:space="preserve"> 。经久耐用，承载≥200公斤，质保5年以上。（2）四桌脚底部加有耐磨胶木调节螺丝垫脚，具有防滑、防噪和调节高度的功能；（3）所有铁件部分焊接均应采用二氧化碳气体保护焊，焊点牢固、平滑、美观，无气泡、毛刺和漏焊、假焊现象，具备耐磨抗刮花性能。</w:t>
            </w:r>
          </w:p>
          <w:p>
            <w:pPr>
              <w:rPr>
                <w:rFonts w:ascii="微软雅黑" w:hAnsi="微软雅黑" w:eastAsia="微软雅黑"/>
                <w:color w:val="000000"/>
                <w:sz w:val="15"/>
                <w:szCs w:val="15"/>
              </w:rPr>
            </w:pPr>
            <w:r>
              <w:rPr>
                <w:rFonts w:hint="eastAsia" w:ascii="微软雅黑" w:hAnsi="微软雅黑" w:eastAsia="微软雅黑"/>
                <w:b/>
                <w:color w:val="000000"/>
                <w:sz w:val="15"/>
                <w:szCs w:val="15"/>
              </w:rPr>
              <w:t>配套钢木方凳（66个）</w:t>
            </w:r>
            <w:r>
              <w:rPr>
                <w:rFonts w:hint="eastAsia" w:ascii="微软雅黑" w:hAnsi="微软雅黑" w:eastAsia="微软雅黑"/>
                <w:color w:val="000000"/>
                <w:sz w:val="15"/>
                <w:szCs w:val="15"/>
              </w:rPr>
              <w:t xml:space="preserve">：要求（1）凳面尺寸规格：380mm×280mm×450mm；（450为凳子上面离地面高度）cm。 </w:t>
            </w:r>
          </w:p>
          <w:p>
            <w:pPr>
              <w:spacing w:line="240" w:lineRule="auto"/>
              <w:ind w:firstLine="225" w:firstLineChars="150"/>
              <w:rPr>
                <w:rFonts w:ascii="微软雅黑" w:hAnsi="微软雅黑" w:eastAsia="微软雅黑"/>
                <w:color w:val="000000"/>
                <w:sz w:val="15"/>
                <w:szCs w:val="15"/>
              </w:rPr>
            </w:pPr>
            <w:r>
              <w:rPr>
                <w:rFonts w:hint="eastAsia" w:ascii="微软雅黑" w:hAnsi="微软雅黑" w:eastAsia="微软雅黑"/>
                <w:color w:val="000000"/>
                <w:sz w:val="15"/>
                <w:szCs w:val="15"/>
              </w:rPr>
              <w:t>（2）凳面三聚氰胺饰面，板厚18</w:t>
            </w:r>
            <w:r>
              <w:rPr>
                <w:rFonts w:hint="eastAsia" w:ascii="宋体" w:hAnsi="宋体" w:cs="宋体"/>
                <w:color w:val="000000"/>
                <w:sz w:val="15"/>
                <w:szCs w:val="15"/>
              </w:rPr>
              <w:t>㎜</w:t>
            </w:r>
            <w:r>
              <w:rPr>
                <w:rFonts w:hint="eastAsia" w:ascii="微软雅黑" w:hAnsi="微软雅黑" w:eastAsia="微软雅黑"/>
                <w:color w:val="000000"/>
                <w:sz w:val="15"/>
                <w:szCs w:val="15"/>
              </w:rPr>
              <w:t xml:space="preserve"> PVC封边，边条厚度1.2</w:t>
            </w:r>
            <w:r>
              <w:rPr>
                <w:rFonts w:hint="eastAsia" w:ascii="宋体" w:hAnsi="宋体" w:cs="宋体"/>
                <w:color w:val="000000"/>
                <w:sz w:val="15"/>
                <w:szCs w:val="15"/>
              </w:rPr>
              <w:t>㎜</w:t>
            </w:r>
            <w:r>
              <w:rPr>
                <w:rFonts w:hint="eastAsia" w:ascii="微软雅黑" w:hAnsi="微软雅黑" w:eastAsia="微软雅黑"/>
                <w:color w:val="000000"/>
                <w:sz w:val="15"/>
                <w:szCs w:val="15"/>
              </w:rPr>
              <w:t xml:space="preserve"> 。</w:t>
            </w:r>
          </w:p>
          <w:p>
            <w:pPr>
              <w:ind w:firstLine="225" w:firstLineChars="150"/>
              <w:rPr>
                <w:rFonts w:ascii="宋体" w:hAnsi="宋体" w:cs="宋体"/>
                <w:color w:val="000000"/>
                <w:kern w:val="0"/>
                <w:sz w:val="18"/>
                <w:szCs w:val="18"/>
              </w:rPr>
            </w:pPr>
            <w:r>
              <w:rPr>
                <w:rFonts w:hint="eastAsia" w:ascii="微软雅黑" w:hAnsi="微软雅黑" w:eastAsia="微软雅黑"/>
                <w:color w:val="000000"/>
                <w:sz w:val="15"/>
                <w:szCs w:val="15"/>
              </w:rPr>
              <w:t>（3）凳腿：</w:t>
            </w:r>
            <w:r>
              <w:rPr>
                <w:rFonts w:hint="eastAsia" w:ascii="宋体" w:hAnsi="宋体" w:cs="宋体"/>
                <w:color w:val="000000"/>
                <w:kern w:val="0"/>
                <w:sz w:val="18"/>
                <w:szCs w:val="18"/>
              </w:rPr>
              <w:t>凳腿脚材料为优质方钢，壁厚2mm，经阻燃，防污处理，经打磨、抛光、酸洗、磷化、防腐等 工艺处理，表面喷涂处理, 并经高温固化处理，具备长时间使用不生锈、不掉漆的特性；</w:t>
            </w:r>
            <w:r>
              <w:rPr>
                <w:rFonts w:hint="eastAsia" w:ascii="微软雅黑" w:hAnsi="微软雅黑" w:eastAsia="微软雅黑"/>
                <w:color w:val="000000"/>
                <w:sz w:val="15"/>
                <w:szCs w:val="15"/>
              </w:rPr>
              <w:t>20×40mm镀锌方钢，壁厚2mm。横衬20×20，壁厚1mm （凳面嵌入托盘内）。凳脚加装优质耐磨防噪垫，具有防滑、防噪功能。</w:t>
            </w:r>
          </w:p>
        </w:tc>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486" w:type="dxa"/>
          </w:tcPr>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488" w:type="dxa"/>
            <w:vAlign w:val="center"/>
          </w:tcPr>
          <w:p>
            <w:pPr>
              <w:jc w:val="center"/>
              <w:rPr>
                <w:sz w:val="18"/>
                <w:szCs w:val="18"/>
              </w:rPr>
            </w:pPr>
          </w:p>
        </w:tc>
        <w:tc>
          <w:tcPr>
            <w:tcW w:w="57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809"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交换机</w:t>
            </w:r>
          </w:p>
        </w:tc>
        <w:tc>
          <w:tcPr>
            <w:tcW w:w="838"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75" w:type="dxa"/>
            <w:gridSpan w:val="2"/>
            <w:vAlign w:val="center"/>
          </w:tcPr>
          <w:p>
            <w:pPr>
              <w:spacing w:line="240" w:lineRule="auto"/>
              <w:rPr>
                <w:rFonts w:hint="eastAsia" w:cs="宋体" w:asciiTheme="minorEastAsia" w:hAnsiTheme="minorEastAsia" w:eastAsiaTheme="minorEastAsia"/>
                <w:kern w:val="0"/>
                <w:sz w:val="18"/>
                <w:szCs w:val="18"/>
              </w:rPr>
            </w:pPr>
          </w:p>
        </w:tc>
        <w:tc>
          <w:tcPr>
            <w:tcW w:w="4286" w:type="dxa"/>
            <w:vAlign w:val="center"/>
          </w:tcPr>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产品类型：企业级交换机含光模块</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应用层级：三层</w:t>
            </w:r>
            <w:r>
              <w:rPr>
                <w:rFonts w:cs="宋体" w:asciiTheme="minorEastAsia" w:hAnsiTheme="minorEastAsia" w:eastAsiaTheme="minorEastAsia"/>
                <w:kern w:val="0"/>
                <w:sz w:val="18"/>
                <w:szCs w:val="18"/>
              </w:rPr>
              <w:t xml:space="preserve">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传输速率：</w:t>
            </w:r>
            <w:r>
              <w:rPr>
                <w:rFonts w:cs="宋体" w:asciiTheme="minorEastAsia" w:hAnsiTheme="minorEastAsia" w:eastAsiaTheme="minorEastAsia"/>
                <w:kern w:val="0"/>
                <w:sz w:val="18"/>
                <w:szCs w:val="18"/>
              </w:rPr>
              <w:t xml:space="preserve">10/100/1000Mbps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交换方式：存储</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转发</w:t>
            </w:r>
            <w:r>
              <w:rPr>
                <w:rFonts w:cs="宋体" w:asciiTheme="minorEastAsia" w:hAnsiTheme="minorEastAsia" w:eastAsiaTheme="minorEastAsia"/>
                <w:kern w:val="0"/>
                <w:sz w:val="18"/>
                <w:szCs w:val="18"/>
              </w:rPr>
              <w:t xml:space="preserve">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背板带宽：</w:t>
            </w:r>
            <w:r>
              <w:rPr>
                <w:rFonts w:cs="宋体" w:asciiTheme="minorEastAsia" w:hAnsiTheme="minorEastAsia" w:eastAsiaTheme="minorEastAsia"/>
                <w:kern w:val="0"/>
                <w:sz w:val="18"/>
                <w:szCs w:val="18"/>
              </w:rPr>
              <w:t>336</w:t>
            </w:r>
            <w:r>
              <w:rPr>
                <w:rFonts w:hint="eastAsia" w:cs="宋体" w:asciiTheme="minorEastAsia" w:hAnsiTheme="minorEastAsia" w:eastAsiaTheme="minorEastAsia"/>
                <w:kern w:val="0"/>
                <w:sz w:val="18"/>
                <w:szCs w:val="18"/>
              </w:rPr>
              <w:t>Gbps以上</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包转发率：</w:t>
            </w:r>
            <w:r>
              <w:rPr>
                <w:rFonts w:cs="宋体" w:asciiTheme="minorEastAsia" w:hAnsiTheme="minorEastAsia" w:eastAsiaTheme="minorEastAsia"/>
                <w:kern w:val="0"/>
                <w:sz w:val="18"/>
                <w:szCs w:val="18"/>
              </w:rPr>
              <w:t xml:space="preserve">96Mpps </w:t>
            </w:r>
            <w:r>
              <w:rPr>
                <w:rFonts w:hint="eastAsia" w:cs="宋体" w:asciiTheme="minorEastAsia" w:hAnsiTheme="minorEastAsia" w:eastAsiaTheme="minorEastAsia"/>
                <w:kern w:val="0"/>
                <w:sz w:val="18"/>
                <w:szCs w:val="18"/>
              </w:rPr>
              <w:t>以上</w:t>
            </w:r>
          </w:p>
          <w:p>
            <w:pPr>
              <w:autoSpaceDE w:val="0"/>
              <w:autoSpaceDN w:val="0"/>
              <w:spacing w:line="240" w:lineRule="auto"/>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MAC</w:t>
            </w:r>
            <w:r>
              <w:rPr>
                <w:rFonts w:hint="eastAsia" w:cs="宋体" w:asciiTheme="minorEastAsia" w:hAnsiTheme="minorEastAsia" w:eastAsiaTheme="minorEastAsia"/>
                <w:kern w:val="0"/>
                <w:sz w:val="18"/>
                <w:szCs w:val="18"/>
              </w:rPr>
              <w:t>地址表：16</w:t>
            </w:r>
            <w:r>
              <w:rPr>
                <w:rFonts w:cs="宋体" w:asciiTheme="minorEastAsia" w:hAnsiTheme="minorEastAsia" w:eastAsiaTheme="minorEastAsia"/>
                <w:kern w:val="0"/>
                <w:sz w:val="18"/>
                <w:szCs w:val="18"/>
              </w:rPr>
              <w:t xml:space="preserve">K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端口参数</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端口结构：非模块化，</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端口数量：</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24个10/100/1000Base-T，4个1000Base-X SFP</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网络标准：</w:t>
            </w:r>
            <w:r>
              <w:rPr>
                <w:rFonts w:cs="宋体" w:asciiTheme="minorEastAsia" w:hAnsiTheme="minorEastAsia" w:eastAsiaTheme="minorEastAsia"/>
                <w:kern w:val="0"/>
                <w:sz w:val="18"/>
                <w:szCs w:val="18"/>
              </w:rPr>
              <w:t>IEEE 802.3</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IEEE 802.3u</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IEEE 802.3ab</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ANSI/IEEE 802.3 Nway</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IEEE 802.3x</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 xml:space="preserve">IEEE 802.3az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其它参数</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电源电压：</w:t>
            </w:r>
            <w:r>
              <w:rPr>
                <w:rFonts w:cs="宋体" w:asciiTheme="minorEastAsia" w:hAnsiTheme="minorEastAsia" w:eastAsiaTheme="minorEastAsia"/>
                <w:kern w:val="0"/>
                <w:sz w:val="18"/>
                <w:szCs w:val="18"/>
              </w:rPr>
              <w:t>AC 100-240V</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 xml:space="preserve">50-60Hz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安全管理：</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支持</w:t>
            </w:r>
            <w:r>
              <w:rPr>
                <w:rFonts w:cs="宋体" w:asciiTheme="minorEastAsia" w:hAnsiTheme="minorEastAsia" w:eastAsiaTheme="minorEastAsia"/>
                <w:kern w:val="0"/>
                <w:sz w:val="18"/>
                <w:szCs w:val="18"/>
              </w:rPr>
              <w:t>IP</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MAC</w:t>
            </w:r>
            <w:r>
              <w:rPr>
                <w:rFonts w:hint="eastAsia" w:cs="宋体" w:asciiTheme="minorEastAsia" w:hAnsiTheme="minorEastAsia" w:eastAsiaTheme="minorEastAsia"/>
                <w:kern w:val="0"/>
                <w:sz w:val="18"/>
                <w:szCs w:val="18"/>
              </w:rPr>
              <w:t>、端口三元素绑定</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过滤非法的</w:t>
            </w:r>
            <w:r>
              <w:rPr>
                <w:rFonts w:cs="宋体" w:asciiTheme="minorEastAsia" w:hAnsiTheme="minorEastAsia" w:eastAsiaTheme="minorEastAsia"/>
                <w:kern w:val="0"/>
                <w:sz w:val="18"/>
                <w:szCs w:val="18"/>
              </w:rPr>
              <w:t>MAC</w:t>
            </w:r>
            <w:r>
              <w:rPr>
                <w:rFonts w:hint="eastAsia" w:cs="宋体" w:asciiTheme="minorEastAsia" w:hAnsiTheme="minorEastAsia" w:eastAsiaTheme="minorEastAsia"/>
                <w:kern w:val="0"/>
                <w:sz w:val="18"/>
                <w:szCs w:val="18"/>
              </w:rPr>
              <w:t>地址</w:t>
            </w:r>
            <w:r>
              <w:rPr>
                <w:rFonts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支持基于端口和</w:t>
            </w:r>
            <w:r>
              <w:rPr>
                <w:rFonts w:cs="宋体" w:asciiTheme="minorEastAsia" w:hAnsiTheme="minorEastAsia" w:eastAsiaTheme="minorEastAsia"/>
                <w:kern w:val="0"/>
                <w:sz w:val="18"/>
                <w:szCs w:val="18"/>
              </w:rPr>
              <w:t>MAC</w:t>
            </w:r>
            <w:r>
              <w:rPr>
                <w:rFonts w:hint="eastAsia" w:cs="宋体" w:asciiTheme="minorEastAsia" w:hAnsiTheme="minorEastAsia" w:eastAsiaTheme="minorEastAsia"/>
                <w:kern w:val="0"/>
                <w:sz w:val="18"/>
                <w:szCs w:val="18"/>
              </w:rPr>
              <w:t>的</w:t>
            </w:r>
            <w:r>
              <w:rPr>
                <w:rFonts w:cs="宋体" w:asciiTheme="minorEastAsia" w:hAnsiTheme="minorEastAsia" w:eastAsiaTheme="minorEastAsia"/>
                <w:kern w:val="0"/>
                <w:sz w:val="18"/>
                <w:szCs w:val="18"/>
              </w:rPr>
              <w:t>802.1x</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控制端口：</w:t>
            </w:r>
            <w:r>
              <w:rPr>
                <w:rFonts w:cs="宋体" w:asciiTheme="minorEastAsia" w:hAnsiTheme="minorEastAsia" w:eastAsiaTheme="minorEastAsia"/>
                <w:kern w:val="0"/>
                <w:sz w:val="18"/>
                <w:szCs w:val="18"/>
              </w:rPr>
              <w:t>1</w:t>
            </w:r>
            <w:r>
              <w:rPr>
                <w:rFonts w:hint="eastAsia" w:cs="宋体" w:asciiTheme="minorEastAsia" w:hAnsiTheme="minorEastAsia" w:eastAsiaTheme="minorEastAsia"/>
                <w:kern w:val="0"/>
                <w:sz w:val="18"/>
                <w:szCs w:val="18"/>
              </w:rPr>
              <w:t>个</w:t>
            </w:r>
            <w:r>
              <w:rPr>
                <w:rFonts w:cs="宋体" w:asciiTheme="minorEastAsia" w:hAnsiTheme="minorEastAsia" w:eastAsiaTheme="minorEastAsia"/>
                <w:kern w:val="0"/>
                <w:sz w:val="18"/>
                <w:szCs w:val="18"/>
              </w:rPr>
              <w:t>Console</w:t>
            </w:r>
            <w:r>
              <w:rPr>
                <w:rFonts w:hint="eastAsia" w:cs="宋体" w:asciiTheme="minorEastAsia" w:hAnsiTheme="minorEastAsia" w:eastAsiaTheme="minorEastAsia"/>
                <w:kern w:val="0"/>
                <w:sz w:val="18"/>
                <w:szCs w:val="18"/>
              </w:rPr>
              <w:t>口以上</w:t>
            </w:r>
            <w:r>
              <w:rPr>
                <w:rFonts w:cs="宋体" w:asciiTheme="minorEastAsia" w:hAnsiTheme="minorEastAsia" w:eastAsiaTheme="minorEastAsia"/>
                <w:kern w:val="0"/>
                <w:sz w:val="18"/>
                <w:szCs w:val="18"/>
              </w:rPr>
              <w:t xml:space="preserve">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传输模式：</w:t>
            </w:r>
            <w:r>
              <w:fldChar w:fldCharType="begin"/>
            </w:r>
            <w:r>
              <w:instrText xml:space="preserve"> HYPERLINK "http://detail.zol.com.cn/switches/p1273/" </w:instrText>
            </w:r>
            <w:r>
              <w:fldChar w:fldCharType="separate"/>
            </w:r>
            <w:r>
              <w:rPr>
                <w:rFonts w:hint="eastAsia" w:cs="宋体" w:asciiTheme="minorEastAsia" w:hAnsiTheme="minorEastAsia" w:eastAsiaTheme="minorEastAsia"/>
                <w:kern w:val="0"/>
                <w:sz w:val="18"/>
                <w:szCs w:val="18"/>
              </w:rPr>
              <w:t>全双工</w:t>
            </w:r>
            <w:r>
              <w:rPr>
                <w:rFonts w:hint="eastAsia" w:cs="宋体" w:asciiTheme="minorEastAsia" w:hAnsiTheme="minorEastAsia" w:eastAsiaTheme="minorEastAsia"/>
                <w:kern w:val="0"/>
                <w:sz w:val="18"/>
                <w:szCs w:val="18"/>
              </w:rPr>
              <w:fldChar w:fldCharType="end"/>
            </w:r>
            <w:r>
              <w:rPr>
                <w:rFonts w:cs="宋体" w:asciiTheme="minorEastAsia" w:hAnsiTheme="minorEastAsia" w:eastAsiaTheme="minorEastAsia"/>
                <w:kern w:val="0"/>
                <w:sz w:val="18"/>
                <w:szCs w:val="18"/>
              </w:rPr>
              <w:t xml:space="preserve"> </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端口防雷：</w:t>
            </w:r>
            <w:r>
              <w:rPr>
                <w:rFonts w:cs="宋体" w:asciiTheme="minorEastAsia" w:hAnsiTheme="minorEastAsia" w:eastAsiaTheme="minorEastAsia"/>
                <w:kern w:val="0"/>
                <w:sz w:val="18"/>
                <w:szCs w:val="18"/>
              </w:rPr>
              <w:t>8KV</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环境标准：工作温度：</w:t>
            </w:r>
            <w:r>
              <w:rPr>
                <w:rFonts w:cs="宋体" w:asciiTheme="minorEastAsia" w:hAnsiTheme="minorEastAsia" w:eastAsiaTheme="minorEastAsia"/>
                <w:kern w:val="0"/>
                <w:sz w:val="18"/>
                <w:szCs w:val="18"/>
              </w:rPr>
              <w:t>0-45</w:t>
            </w:r>
            <w:r>
              <w:rPr>
                <w:rFonts w:hint="eastAsia" w:cs="宋体" w:asciiTheme="minorEastAsia" w:hAnsiTheme="minorEastAsia" w:eastAsiaTheme="minorEastAsia"/>
                <w:kern w:val="0"/>
                <w:sz w:val="18"/>
                <w:szCs w:val="18"/>
              </w:rPr>
              <w:t>℃</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工作湿度：</w:t>
            </w:r>
            <w:r>
              <w:rPr>
                <w:rFonts w:cs="宋体" w:asciiTheme="minorEastAsia" w:hAnsiTheme="minorEastAsia" w:eastAsiaTheme="minorEastAsia"/>
                <w:kern w:val="0"/>
                <w:sz w:val="18"/>
                <w:szCs w:val="18"/>
              </w:rPr>
              <w:t>20%-85%</w:t>
            </w:r>
            <w:r>
              <w:rPr>
                <w:rFonts w:hint="eastAsia" w:cs="宋体" w:asciiTheme="minorEastAsia" w:hAnsiTheme="minorEastAsia" w:eastAsiaTheme="minorEastAsia"/>
                <w:kern w:val="0"/>
                <w:sz w:val="18"/>
                <w:szCs w:val="18"/>
              </w:rPr>
              <w:t>（非凝露）</w:t>
            </w:r>
          </w:p>
          <w:p>
            <w:pPr>
              <w:autoSpaceDE w:val="0"/>
              <w:autoSpaceDN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存储湿度：</w:t>
            </w:r>
            <w:r>
              <w:rPr>
                <w:rFonts w:cs="宋体" w:asciiTheme="minorEastAsia" w:hAnsiTheme="minorEastAsia" w:eastAsiaTheme="minorEastAsia"/>
                <w:kern w:val="0"/>
                <w:sz w:val="18"/>
                <w:szCs w:val="18"/>
              </w:rPr>
              <w:t>5%-95%</w:t>
            </w:r>
            <w:r>
              <w:rPr>
                <w:rFonts w:hint="eastAsia" w:cs="宋体" w:asciiTheme="minorEastAsia" w:hAnsiTheme="minorEastAsia" w:eastAsiaTheme="minorEastAsia"/>
                <w:kern w:val="0"/>
                <w:sz w:val="18"/>
                <w:szCs w:val="18"/>
              </w:rPr>
              <w:t>（非凝露</w:t>
            </w:r>
          </w:p>
          <w:p>
            <w:pPr>
              <w:spacing w:line="240" w:lineRule="auto"/>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保修政策：全国联保，享受三包服务</w:t>
            </w:r>
          </w:p>
        </w:tc>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486" w:type="dxa"/>
          </w:tcPr>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488" w:type="dxa"/>
            <w:vAlign w:val="center"/>
          </w:tcPr>
          <w:p>
            <w:pPr>
              <w:jc w:val="center"/>
              <w:rPr>
                <w:sz w:val="18"/>
                <w:szCs w:val="18"/>
              </w:rPr>
            </w:pPr>
          </w:p>
        </w:tc>
        <w:tc>
          <w:tcPr>
            <w:tcW w:w="57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809" w:type="dxa"/>
            <w:noWrap/>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室内综合布线及线材</w:t>
            </w:r>
          </w:p>
        </w:tc>
        <w:tc>
          <w:tcPr>
            <w:tcW w:w="838" w:type="dxa"/>
            <w:noWrap/>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75" w:type="dxa"/>
            <w:gridSpan w:val="2"/>
            <w:vAlign w:val="center"/>
          </w:tcPr>
          <w:p>
            <w:pPr>
              <w:spacing w:line="240" w:lineRule="auto"/>
              <w:rPr>
                <w:rFonts w:hint="eastAsia" w:asciiTheme="minorEastAsia" w:hAnsiTheme="minorEastAsia" w:eastAsiaTheme="minorEastAsia"/>
                <w:sz w:val="18"/>
                <w:szCs w:val="18"/>
              </w:rPr>
            </w:pPr>
          </w:p>
        </w:tc>
        <w:tc>
          <w:tcPr>
            <w:tcW w:w="4286" w:type="dxa"/>
            <w:vAlign w:val="center"/>
          </w:tcPr>
          <w:p>
            <w:pPr>
              <w:spacing w:line="240" w:lineRule="auto"/>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财会实训室（B6-7）计算机等设备弱电综合布线；根据需要已有或临时增加的设备所需辅材安装调试。</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1、线材，管材，线槽，水晶头等配件一批及施工（材用中国名牌产品，</w:t>
            </w:r>
            <w:r>
              <w:rPr>
                <w:rFonts w:hint="eastAsia" w:cs="宋体" w:asciiTheme="minorEastAsia" w:hAnsiTheme="minorEastAsia" w:eastAsiaTheme="minorEastAsia"/>
                <w:kern w:val="0"/>
                <w:sz w:val="18"/>
                <w:szCs w:val="18"/>
              </w:rPr>
              <w:t>超六类屏蔽</w:t>
            </w:r>
            <w:r>
              <w:rPr>
                <w:rFonts w:hint="eastAsia" w:asciiTheme="minorEastAsia" w:hAnsiTheme="minorEastAsia" w:eastAsiaTheme="minorEastAsia"/>
                <w:sz w:val="18"/>
                <w:szCs w:val="18"/>
              </w:rPr>
              <w:t>，传输速度要求与交换机和网卡相匹配；线槽或线管牢固耐用，电源线用玉蝶，插板用公牛）；所有的布线产品（模块、面板、线缆等）及综合布线所需各种配件和耗材选用厂家的原厂全新正品。所有产品本身必须有明显标识确保其为原厂产品。</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2、弱电系统包含网络布线系统，机柜、理线架等布线系统，达千兆网络环境。</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3、强电系统含电源线、插座、空开等布线，电脑和空调总线分组走线，采用三相电源（主线火线6平方铜芯线以上）平均分配负载，能充分满足供电负荷，保证电脑正常使用，无安全隐患。</w:t>
            </w:r>
          </w:p>
          <w:p>
            <w:pPr>
              <w:spacing w:line="240"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4、网络机柜22U及以上加厚（交换机机柜能达到国标要求）,满足交换机等产品安装要求。</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5、根据校方需求，定制实训室内墙四周一批文化展板。</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要求：★1、室内综合布线要符合《电子计算机机房设计规范》和《电子信息系统计算机机房施工及验收规范》等相关国家机房建设施工标准。★2、综合布线按照相关行业标准和校方要求，需要打线槽走暗线，布线必须规范，不得有裸露强弱电线在外存在存在安全隐患。★3、综合布线所需设备配件和耗材均由中标方负责采购安装，必须保障实训室整体功能要求正常运行且符合标准。</w:t>
            </w:r>
          </w:p>
        </w:tc>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批</w:t>
            </w:r>
          </w:p>
        </w:tc>
        <w:tc>
          <w:tcPr>
            <w:tcW w:w="486"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488" w:type="dxa"/>
            <w:vAlign w:val="center"/>
          </w:tcPr>
          <w:p>
            <w:pPr>
              <w:jc w:val="center"/>
              <w:rPr>
                <w:sz w:val="18"/>
                <w:szCs w:val="18"/>
              </w:rPr>
            </w:pPr>
          </w:p>
        </w:tc>
        <w:tc>
          <w:tcPr>
            <w:tcW w:w="57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809"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空调</w:t>
            </w:r>
          </w:p>
        </w:tc>
        <w:tc>
          <w:tcPr>
            <w:tcW w:w="838"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75" w:type="dxa"/>
            <w:gridSpan w:val="2"/>
            <w:vAlign w:val="center"/>
          </w:tcPr>
          <w:p>
            <w:pPr>
              <w:spacing w:line="240" w:lineRule="auto"/>
              <w:rPr>
                <w:rFonts w:hint="eastAsia" w:cs="宋体" w:asciiTheme="minorEastAsia" w:hAnsiTheme="minorEastAsia" w:eastAsiaTheme="minorEastAsia"/>
                <w:kern w:val="0"/>
                <w:sz w:val="18"/>
                <w:szCs w:val="18"/>
              </w:rPr>
            </w:pPr>
          </w:p>
        </w:tc>
        <w:tc>
          <w:tcPr>
            <w:tcW w:w="4286" w:type="dxa"/>
            <w:vAlign w:val="center"/>
          </w:tcPr>
          <w:p>
            <w:pPr>
              <w:autoSpaceDE w:val="0"/>
              <w:autoSpaceDN w:val="0"/>
              <w:rPr>
                <w:rFonts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空调类型：立柜式空调</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；冷暖类型：冷暖型；</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空调匹数：</w:t>
            </w:r>
            <w:r>
              <w:rPr>
                <w:rFonts w:cs="宋体" w:asciiTheme="minorEastAsia" w:hAnsiTheme="minorEastAsia" w:eastAsiaTheme="minorEastAsia"/>
                <w:kern w:val="0"/>
                <w:sz w:val="18"/>
                <w:szCs w:val="18"/>
              </w:rPr>
              <w:t xml:space="preserve">5 P </w:t>
            </w:r>
            <w:r>
              <w:rPr>
                <w:rFonts w:hint="eastAsia" w:cs="宋体" w:asciiTheme="minorEastAsia" w:hAnsiTheme="minorEastAsia" w:eastAsiaTheme="minorEastAsia"/>
                <w:kern w:val="0"/>
                <w:sz w:val="18"/>
                <w:szCs w:val="18"/>
              </w:rPr>
              <w:t>；适用面积：</w:t>
            </w:r>
            <w:r>
              <w:rPr>
                <w:rFonts w:cs="宋体" w:asciiTheme="minorEastAsia" w:hAnsiTheme="minorEastAsia" w:eastAsiaTheme="minorEastAsia"/>
                <w:kern w:val="0"/>
                <w:sz w:val="18"/>
                <w:szCs w:val="18"/>
              </w:rPr>
              <w:t>80-115</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变频</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定频：定频能效比：3</w:t>
            </w:r>
          </w:p>
          <w:p>
            <w:pPr>
              <w:autoSpaceDE w:val="0"/>
              <w:autoSpaceDN w:val="0"/>
              <w:rPr>
                <w:rFonts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能效等级：三级能效</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房间类型：</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制冷功率：</w:t>
            </w:r>
            <w:r>
              <w:rPr>
                <w:rFonts w:cs="宋体" w:asciiTheme="minorEastAsia" w:hAnsiTheme="minorEastAsia" w:eastAsiaTheme="minorEastAsia"/>
                <w:kern w:val="0"/>
                <w:sz w:val="18"/>
                <w:szCs w:val="18"/>
              </w:rPr>
              <w:t>3</w:t>
            </w:r>
            <w:r>
              <w:rPr>
                <w:rFonts w:hint="eastAsia" w:cs="宋体" w:asciiTheme="minorEastAsia" w:hAnsiTheme="minorEastAsia" w:eastAsiaTheme="minorEastAsia"/>
                <w:kern w:val="0"/>
                <w:sz w:val="18"/>
                <w:szCs w:val="18"/>
              </w:rPr>
              <w:t>930</w:t>
            </w:r>
            <w:r>
              <w:rPr>
                <w:rFonts w:cs="宋体" w:asciiTheme="minorEastAsia" w:hAnsiTheme="minorEastAsia" w:eastAsiaTheme="minorEastAsia"/>
                <w:kern w:val="0"/>
                <w:sz w:val="18"/>
                <w:szCs w:val="18"/>
              </w:rPr>
              <w:t xml:space="preserve">W </w:t>
            </w:r>
          </w:p>
          <w:p>
            <w:pPr>
              <w:autoSpaceDE w:val="0"/>
              <w:autoSpaceDN w:val="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制冷量：</w:t>
            </w:r>
            <w:r>
              <w:rPr>
                <w:rFonts w:cs="宋体" w:asciiTheme="minorEastAsia" w:hAnsiTheme="minorEastAsia" w:eastAsiaTheme="minorEastAsia"/>
                <w:kern w:val="0"/>
                <w:sz w:val="18"/>
                <w:szCs w:val="18"/>
              </w:rPr>
              <w:t>12000W</w:t>
            </w:r>
            <w:r>
              <w:rPr>
                <w:rFonts w:hint="eastAsia" w:cs="宋体" w:asciiTheme="minorEastAsia" w:hAnsiTheme="minorEastAsia" w:eastAsiaTheme="minorEastAsia"/>
                <w:kern w:val="0"/>
                <w:sz w:val="18"/>
                <w:szCs w:val="18"/>
              </w:rPr>
              <w:t>以上；电辅加热功率（W）：3500W以上；循环风量：</w:t>
            </w:r>
            <w:r>
              <w:rPr>
                <w:rFonts w:cs="宋体" w:asciiTheme="minorEastAsia" w:hAnsiTheme="minorEastAsia" w:eastAsiaTheme="minorEastAsia"/>
                <w:kern w:val="0"/>
                <w:sz w:val="18"/>
                <w:szCs w:val="18"/>
              </w:rPr>
              <w:t>1750m3/h</w:t>
            </w:r>
            <w:r>
              <w:rPr>
                <w:rFonts w:hint="eastAsia" w:cs="宋体" w:asciiTheme="minorEastAsia" w:hAnsiTheme="minorEastAsia" w:eastAsiaTheme="minorEastAsia"/>
                <w:kern w:val="0"/>
                <w:sz w:val="18"/>
                <w:szCs w:val="18"/>
              </w:rPr>
              <w:t>室内机噪音：</w:t>
            </w:r>
            <w:r>
              <w:rPr>
                <w:rFonts w:cs="宋体" w:asciiTheme="minorEastAsia" w:hAnsiTheme="minorEastAsia" w:eastAsiaTheme="minorEastAsia"/>
                <w:kern w:val="0"/>
                <w:sz w:val="18"/>
                <w:szCs w:val="18"/>
              </w:rPr>
              <w:t>44-50dB</w:t>
            </w:r>
          </w:p>
          <w:p>
            <w:pPr>
              <w:autoSpaceDE w:val="0"/>
              <w:autoSpaceDN w:val="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室外机噪音：≤</w:t>
            </w:r>
            <w:r>
              <w:rPr>
                <w:rFonts w:cs="宋体" w:asciiTheme="minorEastAsia" w:hAnsiTheme="minorEastAsia" w:eastAsiaTheme="minorEastAsia"/>
                <w:kern w:val="0"/>
                <w:sz w:val="18"/>
                <w:szCs w:val="18"/>
              </w:rPr>
              <w:t>60dB</w:t>
            </w:r>
          </w:p>
          <w:p>
            <w:pPr>
              <w:spacing w:line="240" w:lineRule="auto"/>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包括附加耗材及安装调试。</w:t>
            </w:r>
            <w:r>
              <w:rPr>
                <w:rFonts w:hint="eastAsia" w:asciiTheme="minorEastAsia" w:hAnsiTheme="minorEastAsia" w:eastAsiaTheme="minorEastAsia"/>
                <w:sz w:val="18"/>
                <w:szCs w:val="18"/>
              </w:rPr>
              <w:t xml:space="preserve"> </w:t>
            </w:r>
          </w:p>
        </w:tc>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486" w:type="dxa"/>
          </w:tcPr>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88" w:type="dxa"/>
            <w:vAlign w:val="center"/>
          </w:tcPr>
          <w:p>
            <w:pPr>
              <w:jc w:val="center"/>
              <w:rPr>
                <w:sz w:val="18"/>
                <w:szCs w:val="18"/>
              </w:rPr>
            </w:pPr>
          </w:p>
        </w:tc>
        <w:tc>
          <w:tcPr>
            <w:tcW w:w="57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809"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强化地板</w:t>
            </w:r>
          </w:p>
        </w:tc>
        <w:tc>
          <w:tcPr>
            <w:tcW w:w="838"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575" w:type="dxa"/>
            <w:gridSpan w:val="2"/>
            <w:vAlign w:val="center"/>
          </w:tcPr>
          <w:p>
            <w:pPr>
              <w:spacing w:line="240" w:lineRule="auto"/>
              <w:rPr>
                <w:rFonts w:hint="eastAsia" w:asciiTheme="minorEastAsia" w:hAnsiTheme="minorEastAsia" w:eastAsiaTheme="minorEastAsia"/>
                <w:sz w:val="18"/>
                <w:szCs w:val="18"/>
              </w:rPr>
            </w:pPr>
          </w:p>
        </w:tc>
        <w:tc>
          <w:tcPr>
            <w:tcW w:w="4286" w:type="dxa"/>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Cs w:val="21"/>
              </w:rPr>
              <w:t>B6-7</w:t>
            </w:r>
            <w:r>
              <w:rPr>
                <w:rFonts w:hint="eastAsia" w:asciiTheme="minorEastAsia" w:hAnsiTheme="minorEastAsia" w:eastAsiaTheme="minorEastAsia"/>
                <w:szCs w:val="21"/>
              </w:rPr>
              <w:t>财会实训室</w:t>
            </w:r>
            <w:r>
              <w:rPr>
                <w:rFonts w:hint="eastAsia" w:asciiTheme="minorEastAsia" w:hAnsiTheme="minorEastAsia" w:eastAsiaTheme="minorEastAsia"/>
                <w:sz w:val="18"/>
                <w:szCs w:val="18"/>
              </w:rPr>
              <w:t>）</w:t>
            </w:r>
          </w:p>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国产一线品牌，</w:t>
            </w:r>
            <w:bookmarkStart w:id="0" w:name="_GoBack"/>
            <w:bookmarkEnd w:id="0"/>
            <w:r>
              <w:rPr>
                <w:rFonts w:hint="eastAsia" w:asciiTheme="minorEastAsia" w:hAnsiTheme="minorEastAsia" w:eastAsiaTheme="minorEastAsia"/>
                <w:sz w:val="18"/>
                <w:szCs w:val="18"/>
              </w:rPr>
              <w:t>现场定制，规格：厚度：</w:t>
            </w:r>
            <w:r>
              <w:rPr>
                <w:rFonts w:asciiTheme="minorEastAsia" w:hAnsiTheme="minorEastAsia" w:eastAsiaTheme="minorEastAsia"/>
                <w:sz w:val="18"/>
                <w:szCs w:val="18"/>
              </w:rPr>
              <w:t>12</w:t>
            </w:r>
            <w:r>
              <w:rPr>
                <w:rFonts w:hint="eastAsia" w:asciiTheme="minorEastAsia" w:hAnsiTheme="minorEastAsia" w:eastAsiaTheme="minorEastAsia"/>
                <w:sz w:val="18"/>
                <w:szCs w:val="18"/>
              </w:rPr>
              <w:t>mm以上，耐磨、防水，环保标准为环保标准为E0级环保，耐磨：9000转及以上。包括安装和相关辅材。（实训室地面全安装，具体以实际为准）</w:t>
            </w:r>
          </w:p>
        </w:tc>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平方</w:t>
            </w:r>
          </w:p>
        </w:tc>
        <w:tc>
          <w:tcPr>
            <w:tcW w:w="486" w:type="dxa"/>
          </w:tcPr>
          <w:p>
            <w:pPr>
              <w:rPr>
                <w:rFonts w:asciiTheme="minorEastAsia" w:hAnsiTheme="minorEastAsia" w:eastAsiaTheme="minorEastAsia"/>
                <w:sz w:val="18"/>
                <w:szCs w:val="18"/>
              </w:rPr>
            </w:pPr>
          </w:p>
          <w:p>
            <w:pPr>
              <w:rPr>
                <w:rFonts w:asciiTheme="minorEastAsia" w:hAnsiTheme="minorEastAsia" w:eastAsiaTheme="minorEastAsia"/>
                <w:sz w:val="18"/>
                <w:szCs w:val="18"/>
              </w:rPr>
            </w:pPr>
            <w:r>
              <w:rPr>
                <w:rFonts w:asciiTheme="minorEastAsia" w:hAnsiTheme="minorEastAsia" w:eastAsiaTheme="minorEastAsia"/>
                <w:sz w:val="18"/>
                <w:szCs w:val="18"/>
              </w:rPr>
              <w:t>110</w:t>
            </w:r>
          </w:p>
        </w:tc>
        <w:tc>
          <w:tcPr>
            <w:tcW w:w="488" w:type="dxa"/>
            <w:vAlign w:val="center"/>
          </w:tcPr>
          <w:p>
            <w:pPr>
              <w:jc w:val="center"/>
              <w:rPr>
                <w:sz w:val="18"/>
                <w:szCs w:val="18"/>
              </w:rPr>
            </w:pPr>
          </w:p>
        </w:tc>
        <w:tc>
          <w:tcPr>
            <w:tcW w:w="57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3161" w:type="dxa"/>
            <w:gridSpan w:val="3"/>
          </w:tcPr>
          <w:p>
            <w:pPr>
              <w:jc w:val="center"/>
              <w:rPr>
                <w:rFonts w:hint="eastAsia" w:cs="宋体" w:asciiTheme="minorEastAsia" w:hAnsiTheme="minorEastAsia" w:eastAsiaTheme="minorEastAsia"/>
                <w:kern w:val="0"/>
                <w:sz w:val="18"/>
                <w:szCs w:val="18"/>
              </w:rPr>
            </w:pPr>
          </w:p>
        </w:tc>
        <w:tc>
          <w:tcPr>
            <w:tcW w:w="5718" w:type="dxa"/>
            <w:gridSpan w:val="5"/>
          </w:tcPr>
          <w:p>
            <w:pPr>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人民币合计：</w:t>
            </w:r>
          </w:p>
        </w:tc>
        <w:tc>
          <w:tcPr>
            <w:tcW w:w="578" w:type="dxa"/>
          </w:tcPr>
          <w:p>
            <w:pPr>
              <w:rPr>
                <w:rFonts w:asciiTheme="minorEastAsia" w:hAnsiTheme="minorEastAsia" w:eastAsiaTheme="minorEastAsia"/>
                <w:sz w:val="18"/>
                <w:szCs w:val="18"/>
              </w:rPr>
            </w:pPr>
          </w:p>
        </w:tc>
      </w:tr>
    </w:tbl>
    <w:p>
      <w:pPr>
        <w:spacing w:line="380" w:lineRule="exact"/>
        <w:ind w:firstLine="420" w:firstLineChars="200"/>
        <w:rPr>
          <w:rFonts w:asciiTheme="minorEastAsia" w:hAnsiTheme="minorEastAsia" w:eastAsiaTheme="minorEastAsia"/>
          <w:szCs w:val="21"/>
          <w:lang w:val="zh-CN"/>
        </w:rPr>
      </w:pPr>
    </w:p>
    <w:p>
      <w:pPr>
        <w:spacing w:line="380" w:lineRule="exact"/>
        <w:ind w:firstLine="420" w:firstLineChars="200"/>
        <w:rPr>
          <w:rFonts w:asciiTheme="minorEastAsia" w:hAnsiTheme="minorEastAsia" w:eastAsiaTheme="minorEastAsia"/>
          <w:szCs w:val="21"/>
          <w:lang w:val="zh-CN"/>
        </w:rPr>
      </w:pPr>
    </w:p>
    <w:p>
      <w:pPr>
        <w:spacing w:line="380" w:lineRule="exact"/>
        <w:ind w:firstLine="420" w:firstLineChars="200"/>
        <w:rPr>
          <w:rFonts w:asciiTheme="minorEastAsia" w:hAnsiTheme="minorEastAsia" w:eastAsiaTheme="minorEastAsia"/>
          <w:szCs w:val="21"/>
          <w:lang w:val="zh-CN"/>
        </w:rPr>
      </w:pPr>
    </w:p>
    <w:p>
      <w:pPr>
        <w:keepNext w:val="0"/>
        <w:keepLines w:val="0"/>
        <w:pageBreakBefore w:val="0"/>
        <w:widowControl/>
        <w:kinsoku/>
        <w:wordWrap/>
        <w:overflowPunct/>
        <w:topLinePunct w:val="0"/>
        <w:autoSpaceDE/>
        <w:autoSpaceDN/>
        <w:bidi w:val="0"/>
        <w:adjustRightInd/>
        <w:snapToGrid/>
        <w:ind w:firstLine="422" w:firstLineChars="200"/>
        <w:textAlignment w:val="auto"/>
        <w:rPr>
          <w:rFonts w:asciiTheme="minorEastAsia" w:hAnsiTheme="minorEastAsia" w:eastAsiaTheme="minorEastAsia"/>
          <w:b/>
          <w:bCs/>
        </w:rPr>
      </w:pPr>
      <w:r>
        <w:rPr>
          <w:rFonts w:hint="eastAsia" w:cs="宋体" w:asciiTheme="minorEastAsia" w:hAnsiTheme="minorEastAsia" w:eastAsiaTheme="minorEastAsia"/>
          <w:b/>
          <w:bCs/>
        </w:rPr>
        <w:t>附加说明：</w:t>
      </w:r>
      <w:r>
        <w:rPr>
          <w:rFonts w:hint="eastAsia" w:cs="宋体" w:asciiTheme="minorEastAsia" w:hAnsiTheme="minorEastAsia" w:eastAsiaTheme="minorEastAsia"/>
          <w:b/>
          <w:bCs/>
          <w:sz w:val="36"/>
          <w:szCs w:val="36"/>
        </w:rPr>
        <w:t>（生成标书是不能删除，必须加在标书里面）</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Theme="minorEastAsia" w:hAnsiTheme="minorEastAsia" w:eastAsiaTheme="minorEastAsia"/>
        </w:rPr>
      </w:pPr>
      <w:r>
        <w:rPr>
          <w:rFonts w:hint="eastAsia" w:cs="宋体" w:asciiTheme="minorEastAsia" w:hAnsiTheme="minorEastAsia" w:eastAsiaTheme="minorEastAsia"/>
        </w:rPr>
        <w:t>★投标公司必须是已经有过相应教学实训室建设项目经历，购买标书时必须提供。</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Theme="minorEastAsia" w:hAnsiTheme="minorEastAsia" w:eastAsiaTheme="minorEastAsia"/>
        </w:rPr>
      </w:pPr>
      <w:r>
        <w:rPr>
          <w:rFonts w:hint="eastAsia" w:cs="宋体" w:asciiTheme="minorEastAsia" w:hAnsiTheme="minorEastAsia" w:eastAsiaTheme="minorEastAsia"/>
        </w:rPr>
        <w:t>★以上清单中所以采购设备运送到校方制定地点且包括安装调试，若在上述实训室设备清单范围内未涉及的而且必要的相应设备，由中标方负责提供，确保整体建设效果。</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★签订合同之前，在中标公示期内，根据校方需要针对本次采购的设备及产品到采购单位进行完整功能性演示，若达不到参数要求，校方有权拒绝签订合同，取消其中标资格。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Theme="minorEastAsia" w:hAnsiTheme="minorEastAsia" w:eastAsiaTheme="minorEastAsia"/>
        </w:rPr>
      </w:pPr>
      <w:r>
        <w:rPr>
          <w:rFonts w:hint="eastAsia" w:cs="宋体" w:asciiTheme="minorEastAsia" w:hAnsiTheme="minorEastAsia" w:eastAsiaTheme="minorEastAsia"/>
        </w:rPr>
        <w:t>★中标方在签订合同之前，必须提供施工安装详细方案，要确保方案整体建设效果，保证正常运行质量，双方签订实施方案确认书后方能签订合同。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Theme="minorEastAsia" w:hAnsiTheme="minorEastAsia" w:eastAsiaTheme="minorEastAsia"/>
          <w:sz w:val="24"/>
        </w:rPr>
      </w:pPr>
      <w:r>
        <w:rPr>
          <w:rFonts w:hint="eastAsia" w:cs="宋体" w:asciiTheme="minorEastAsia" w:hAnsiTheme="minorEastAsia" w:eastAsiaTheme="minorEastAsia"/>
        </w:rPr>
        <w:t>★建成后，需由校方正常运行一个月以上，方能验收。</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asciiTheme="minorEastAsia" w:hAnsiTheme="minorEastAsia" w:eastAsiaTheme="minorEastAsia"/>
          <w:sz w:val="24"/>
        </w:rPr>
      </w:pPr>
      <w:r>
        <w:rPr>
          <w:rFonts w:hint="eastAsia" w:cs="宋体" w:asciiTheme="minorEastAsia" w:hAnsiTheme="minorEastAsia" w:eastAsiaTheme="minorEastAsia"/>
          <w:sz w:val="24"/>
        </w:rPr>
        <w:t>★所采购电脑设备必须与软件之间相互兼容，保障正常运行。</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★所有建设施工设计均按照机房建设方案并依据相应标准执行。</w:t>
      </w:r>
    </w:p>
    <w:p>
      <w:pPr>
        <w:spacing w:line="380" w:lineRule="exact"/>
        <w:rPr>
          <w:rFonts w:cs="宋体" w:asciiTheme="minorEastAsia" w:hAnsiTheme="minorEastAsia" w:eastAsiaTheme="minorEastAsia"/>
        </w:rPr>
      </w:pPr>
    </w:p>
    <w:p>
      <w:pPr>
        <w:spacing w:line="380" w:lineRule="exact"/>
        <w:rPr>
          <w:rFonts w:cs="宋体" w:asciiTheme="minorEastAsia" w:hAnsiTheme="minorEastAsia" w:eastAsiaTheme="minorEastAsia"/>
        </w:rPr>
      </w:pPr>
    </w:p>
    <w:p>
      <w:pPr>
        <w:spacing w:line="380" w:lineRule="exact"/>
        <w:ind w:firstLine="420" w:firstLineChars="200"/>
        <w:rPr>
          <w:rFonts w:asciiTheme="minorEastAsia" w:hAnsiTheme="minorEastAsia" w:eastAsiaTheme="minorEastAsia"/>
          <w:szCs w:val="21"/>
          <w:lang w:val="zh-CN"/>
        </w:rPr>
      </w:pPr>
    </w:p>
    <w:sectPr>
      <w:footerReference r:id="rId5" w:type="default"/>
      <w:pgSz w:w="11906" w:h="16838"/>
      <w:pgMar w:top="720" w:right="1134" w:bottom="720" w:left="1134"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669924"/>
    </w:sdtPr>
    <w:sdtContent>
      <w:p>
        <w:pPr>
          <w:pStyle w:val="11"/>
          <w:jc w:val="center"/>
        </w:pPr>
        <w:r>
          <w:fldChar w:fldCharType="begin"/>
        </w:r>
        <w:r>
          <w:instrText xml:space="preserve">PAGE   \* MERGEFORMAT</w:instrText>
        </w:r>
        <w:r>
          <w:fldChar w:fldCharType="separate"/>
        </w:r>
        <w:r>
          <w:rPr>
            <w:lang w:val="zh-CN"/>
          </w:rPr>
          <w:t>4</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A0"/>
    <w:rsid w:val="0000628E"/>
    <w:rsid w:val="000124C6"/>
    <w:rsid w:val="00013BA1"/>
    <w:rsid w:val="00013F48"/>
    <w:rsid w:val="00014371"/>
    <w:rsid w:val="00023C13"/>
    <w:rsid w:val="000272AD"/>
    <w:rsid w:val="0002748F"/>
    <w:rsid w:val="00043D3E"/>
    <w:rsid w:val="00047DAF"/>
    <w:rsid w:val="00056E0A"/>
    <w:rsid w:val="00060D7A"/>
    <w:rsid w:val="00060F16"/>
    <w:rsid w:val="000708FE"/>
    <w:rsid w:val="0007352A"/>
    <w:rsid w:val="0007530F"/>
    <w:rsid w:val="00076424"/>
    <w:rsid w:val="000806ED"/>
    <w:rsid w:val="00082130"/>
    <w:rsid w:val="00086B88"/>
    <w:rsid w:val="000909A2"/>
    <w:rsid w:val="00096E75"/>
    <w:rsid w:val="000A01E7"/>
    <w:rsid w:val="000A23A3"/>
    <w:rsid w:val="000A4523"/>
    <w:rsid w:val="000A6D6F"/>
    <w:rsid w:val="000B22AB"/>
    <w:rsid w:val="000B7556"/>
    <w:rsid w:val="000C4806"/>
    <w:rsid w:val="000C4B1D"/>
    <w:rsid w:val="000C4F5C"/>
    <w:rsid w:val="000D33AC"/>
    <w:rsid w:val="000D438C"/>
    <w:rsid w:val="000E251B"/>
    <w:rsid w:val="000F09DE"/>
    <w:rsid w:val="000F2CE0"/>
    <w:rsid w:val="00103196"/>
    <w:rsid w:val="001073D4"/>
    <w:rsid w:val="00113EE8"/>
    <w:rsid w:val="00114CA5"/>
    <w:rsid w:val="00117200"/>
    <w:rsid w:val="00122AC2"/>
    <w:rsid w:val="00127430"/>
    <w:rsid w:val="00133629"/>
    <w:rsid w:val="0013644B"/>
    <w:rsid w:val="00136ED5"/>
    <w:rsid w:val="00141559"/>
    <w:rsid w:val="00141E2E"/>
    <w:rsid w:val="00143077"/>
    <w:rsid w:val="00154BAA"/>
    <w:rsid w:val="00156572"/>
    <w:rsid w:val="001725EF"/>
    <w:rsid w:val="001739FF"/>
    <w:rsid w:val="0017416B"/>
    <w:rsid w:val="00175881"/>
    <w:rsid w:val="00183FBC"/>
    <w:rsid w:val="00185E52"/>
    <w:rsid w:val="001920AE"/>
    <w:rsid w:val="001921B0"/>
    <w:rsid w:val="00193B99"/>
    <w:rsid w:val="00196DC5"/>
    <w:rsid w:val="001A1B12"/>
    <w:rsid w:val="001A370F"/>
    <w:rsid w:val="001A7AA3"/>
    <w:rsid w:val="001B3CC9"/>
    <w:rsid w:val="001B4ECD"/>
    <w:rsid w:val="001D08AF"/>
    <w:rsid w:val="001D3455"/>
    <w:rsid w:val="001E4748"/>
    <w:rsid w:val="001E5163"/>
    <w:rsid w:val="001E5D4B"/>
    <w:rsid w:val="001E6F8B"/>
    <w:rsid w:val="001E7B8E"/>
    <w:rsid w:val="00200593"/>
    <w:rsid w:val="0020218E"/>
    <w:rsid w:val="00202C1B"/>
    <w:rsid w:val="00203374"/>
    <w:rsid w:val="002039EE"/>
    <w:rsid w:val="002064E0"/>
    <w:rsid w:val="002074F2"/>
    <w:rsid w:val="00207AE2"/>
    <w:rsid w:val="00210EB7"/>
    <w:rsid w:val="002113A6"/>
    <w:rsid w:val="0021306E"/>
    <w:rsid w:val="00220C20"/>
    <w:rsid w:val="0022729C"/>
    <w:rsid w:val="00227AF2"/>
    <w:rsid w:val="00234250"/>
    <w:rsid w:val="00234A88"/>
    <w:rsid w:val="00235DB0"/>
    <w:rsid w:val="00240E5E"/>
    <w:rsid w:val="00250637"/>
    <w:rsid w:val="0025079F"/>
    <w:rsid w:val="00255478"/>
    <w:rsid w:val="00260A21"/>
    <w:rsid w:val="00262970"/>
    <w:rsid w:val="002658A4"/>
    <w:rsid w:val="0027014B"/>
    <w:rsid w:val="0027326E"/>
    <w:rsid w:val="002776D4"/>
    <w:rsid w:val="00280016"/>
    <w:rsid w:val="0028193A"/>
    <w:rsid w:val="00281E11"/>
    <w:rsid w:val="00292BC9"/>
    <w:rsid w:val="002A68C7"/>
    <w:rsid w:val="002B0135"/>
    <w:rsid w:val="002B1DDF"/>
    <w:rsid w:val="002B3A02"/>
    <w:rsid w:val="002B4777"/>
    <w:rsid w:val="002B6250"/>
    <w:rsid w:val="002C4C27"/>
    <w:rsid w:val="002C6135"/>
    <w:rsid w:val="002C6874"/>
    <w:rsid w:val="002E227E"/>
    <w:rsid w:val="002F1F65"/>
    <w:rsid w:val="002F45F4"/>
    <w:rsid w:val="003001FE"/>
    <w:rsid w:val="00302BC6"/>
    <w:rsid w:val="00310840"/>
    <w:rsid w:val="00314B67"/>
    <w:rsid w:val="00315E53"/>
    <w:rsid w:val="00317DCB"/>
    <w:rsid w:val="003209F7"/>
    <w:rsid w:val="0032148D"/>
    <w:rsid w:val="00322973"/>
    <w:rsid w:val="00324987"/>
    <w:rsid w:val="00327147"/>
    <w:rsid w:val="00330A03"/>
    <w:rsid w:val="00332781"/>
    <w:rsid w:val="0033416C"/>
    <w:rsid w:val="0034074A"/>
    <w:rsid w:val="00343C0B"/>
    <w:rsid w:val="00344B9F"/>
    <w:rsid w:val="00345108"/>
    <w:rsid w:val="00347E4B"/>
    <w:rsid w:val="00351ABF"/>
    <w:rsid w:val="00360A11"/>
    <w:rsid w:val="00365707"/>
    <w:rsid w:val="00367225"/>
    <w:rsid w:val="003704AA"/>
    <w:rsid w:val="0038393C"/>
    <w:rsid w:val="003932DD"/>
    <w:rsid w:val="00393F6E"/>
    <w:rsid w:val="00396827"/>
    <w:rsid w:val="003A7359"/>
    <w:rsid w:val="003B45C6"/>
    <w:rsid w:val="003B5625"/>
    <w:rsid w:val="003C1F63"/>
    <w:rsid w:val="003C2918"/>
    <w:rsid w:val="003C491B"/>
    <w:rsid w:val="003D0503"/>
    <w:rsid w:val="003D4E30"/>
    <w:rsid w:val="003D7FDE"/>
    <w:rsid w:val="003F1613"/>
    <w:rsid w:val="003F326B"/>
    <w:rsid w:val="003F48DF"/>
    <w:rsid w:val="003F6FF7"/>
    <w:rsid w:val="00401E08"/>
    <w:rsid w:val="00405482"/>
    <w:rsid w:val="00407055"/>
    <w:rsid w:val="00411333"/>
    <w:rsid w:val="004205AE"/>
    <w:rsid w:val="00426BD0"/>
    <w:rsid w:val="00433AA1"/>
    <w:rsid w:val="00450339"/>
    <w:rsid w:val="00451166"/>
    <w:rsid w:val="004542B2"/>
    <w:rsid w:val="004605D6"/>
    <w:rsid w:val="004622AD"/>
    <w:rsid w:val="004633AB"/>
    <w:rsid w:val="00463501"/>
    <w:rsid w:val="0046690A"/>
    <w:rsid w:val="004713FC"/>
    <w:rsid w:val="00485DCB"/>
    <w:rsid w:val="004871ED"/>
    <w:rsid w:val="00487A44"/>
    <w:rsid w:val="00492349"/>
    <w:rsid w:val="004A6FF0"/>
    <w:rsid w:val="004B028C"/>
    <w:rsid w:val="004B2097"/>
    <w:rsid w:val="004B2AB2"/>
    <w:rsid w:val="004B3F90"/>
    <w:rsid w:val="004C54F7"/>
    <w:rsid w:val="004D2373"/>
    <w:rsid w:val="004D3DB3"/>
    <w:rsid w:val="004E0472"/>
    <w:rsid w:val="004E3BB0"/>
    <w:rsid w:val="004F25EE"/>
    <w:rsid w:val="004F5F3D"/>
    <w:rsid w:val="004F64B6"/>
    <w:rsid w:val="004F6990"/>
    <w:rsid w:val="004F6FB1"/>
    <w:rsid w:val="004F75A6"/>
    <w:rsid w:val="00500498"/>
    <w:rsid w:val="00505BC7"/>
    <w:rsid w:val="00512B78"/>
    <w:rsid w:val="00513F7D"/>
    <w:rsid w:val="00524445"/>
    <w:rsid w:val="00527AB8"/>
    <w:rsid w:val="0053181A"/>
    <w:rsid w:val="00531B61"/>
    <w:rsid w:val="00532F24"/>
    <w:rsid w:val="00535A80"/>
    <w:rsid w:val="00540CF7"/>
    <w:rsid w:val="00542EB9"/>
    <w:rsid w:val="005435F1"/>
    <w:rsid w:val="005453CC"/>
    <w:rsid w:val="005503B8"/>
    <w:rsid w:val="00550701"/>
    <w:rsid w:val="00552DAC"/>
    <w:rsid w:val="00555BB0"/>
    <w:rsid w:val="00557614"/>
    <w:rsid w:val="0056001D"/>
    <w:rsid w:val="00560BF5"/>
    <w:rsid w:val="0056787C"/>
    <w:rsid w:val="005711D6"/>
    <w:rsid w:val="005732BA"/>
    <w:rsid w:val="00575ABB"/>
    <w:rsid w:val="00575BFD"/>
    <w:rsid w:val="0057763A"/>
    <w:rsid w:val="00595C39"/>
    <w:rsid w:val="00596BF9"/>
    <w:rsid w:val="005A03F9"/>
    <w:rsid w:val="005A7E96"/>
    <w:rsid w:val="005C24BE"/>
    <w:rsid w:val="005C5015"/>
    <w:rsid w:val="005C63F3"/>
    <w:rsid w:val="005C7039"/>
    <w:rsid w:val="005D1FFC"/>
    <w:rsid w:val="005D296B"/>
    <w:rsid w:val="005D58A3"/>
    <w:rsid w:val="005D6B9F"/>
    <w:rsid w:val="0061014A"/>
    <w:rsid w:val="00615ABE"/>
    <w:rsid w:val="00626028"/>
    <w:rsid w:val="00631D10"/>
    <w:rsid w:val="00635B7D"/>
    <w:rsid w:val="00640423"/>
    <w:rsid w:val="0064128B"/>
    <w:rsid w:val="00641831"/>
    <w:rsid w:val="00647F88"/>
    <w:rsid w:val="006633EE"/>
    <w:rsid w:val="00670273"/>
    <w:rsid w:val="0067144A"/>
    <w:rsid w:val="00672EBD"/>
    <w:rsid w:val="00676CC2"/>
    <w:rsid w:val="006771BB"/>
    <w:rsid w:val="00685AAF"/>
    <w:rsid w:val="006878DA"/>
    <w:rsid w:val="00687A37"/>
    <w:rsid w:val="00693B06"/>
    <w:rsid w:val="00695BF7"/>
    <w:rsid w:val="006A1188"/>
    <w:rsid w:val="006B090F"/>
    <w:rsid w:val="006B545F"/>
    <w:rsid w:val="006B56B6"/>
    <w:rsid w:val="006B70A7"/>
    <w:rsid w:val="006B7A64"/>
    <w:rsid w:val="006C0510"/>
    <w:rsid w:val="006C0F21"/>
    <w:rsid w:val="006D040D"/>
    <w:rsid w:val="006D1C4C"/>
    <w:rsid w:val="006D5E50"/>
    <w:rsid w:val="006E382D"/>
    <w:rsid w:val="006F00DD"/>
    <w:rsid w:val="006F03E4"/>
    <w:rsid w:val="006F04ED"/>
    <w:rsid w:val="006F314A"/>
    <w:rsid w:val="006F320D"/>
    <w:rsid w:val="006F3575"/>
    <w:rsid w:val="006F5543"/>
    <w:rsid w:val="00705228"/>
    <w:rsid w:val="00706D7E"/>
    <w:rsid w:val="007130A1"/>
    <w:rsid w:val="00713627"/>
    <w:rsid w:val="0071377E"/>
    <w:rsid w:val="0072486E"/>
    <w:rsid w:val="007371E2"/>
    <w:rsid w:val="0074256B"/>
    <w:rsid w:val="00742A22"/>
    <w:rsid w:val="00742F82"/>
    <w:rsid w:val="0074543B"/>
    <w:rsid w:val="007460A4"/>
    <w:rsid w:val="007508FF"/>
    <w:rsid w:val="00754B94"/>
    <w:rsid w:val="00755406"/>
    <w:rsid w:val="007556DA"/>
    <w:rsid w:val="00756504"/>
    <w:rsid w:val="00760BB9"/>
    <w:rsid w:val="007672B6"/>
    <w:rsid w:val="007767B3"/>
    <w:rsid w:val="00776E0A"/>
    <w:rsid w:val="0078534C"/>
    <w:rsid w:val="007874AE"/>
    <w:rsid w:val="0079173A"/>
    <w:rsid w:val="00793594"/>
    <w:rsid w:val="007935A8"/>
    <w:rsid w:val="00793AFF"/>
    <w:rsid w:val="007967C5"/>
    <w:rsid w:val="007A022E"/>
    <w:rsid w:val="007A0511"/>
    <w:rsid w:val="007A403B"/>
    <w:rsid w:val="007B22D8"/>
    <w:rsid w:val="007B3419"/>
    <w:rsid w:val="007B4396"/>
    <w:rsid w:val="007B44C4"/>
    <w:rsid w:val="007B6392"/>
    <w:rsid w:val="007C1890"/>
    <w:rsid w:val="007D0879"/>
    <w:rsid w:val="007D1C24"/>
    <w:rsid w:val="007D47EC"/>
    <w:rsid w:val="007D7624"/>
    <w:rsid w:val="007E1EA3"/>
    <w:rsid w:val="007E4825"/>
    <w:rsid w:val="007E54B2"/>
    <w:rsid w:val="007F074C"/>
    <w:rsid w:val="007F25E4"/>
    <w:rsid w:val="007F53A8"/>
    <w:rsid w:val="008023A1"/>
    <w:rsid w:val="008031B3"/>
    <w:rsid w:val="008051C3"/>
    <w:rsid w:val="00812853"/>
    <w:rsid w:val="008144F8"/>
    <w:rsid w:val="0082567B"/>
    <w:rsid w:val="0082789C"/>
    <w:rsid w:val="0083393A"/>
    <w:rsid w:val="00834AE9"/>
    <w:rsid w:val="00836ED5"/>
    <w:rsid w:val="00840CC6"/>
    <w:rsid w:val="00853E99"/>
    <w:rsid w:val="00872FF4"/>
    <w:rsid w:val="008762C2"/>
    <w:rsid w:val="00876EAF"/>
    <w:rsid w:val="00891D75"/>
    <w:rsid w:val="0089241A"/>
    <w:rsid w:val="0089546D"/>
    <w:rsid w:val="00897A9D"/>
    <w:rsid w:val="008A30D3"/>
    <w:rsid w:val="008A5F3B"/>
    <w:rsid w:val="008B56A0"/>
    <w:rsid w:val="008B7109"/>
    <w:rsid w:val="008B75B8"/>
    <w:rsid w:val="008C3463"/>
    <w:rsid w:val="008C4C64"/>
    <w:rsid w:val="008C6520"/>
    <w:rsid w:val="008C65CA"/>
    <w:rsid w:val="008D04D8"/>
    <w:rsid w:val="008D3983"/>
    <w:rsid w:val="008D4C35"/>
    <w:rsid w:val="008D74A3"/>
    <w:rsid w:val="008E758E"/>
    <w:rsid w:val="008F1177"/>
    <w:rsid w:val="008F5CB6"/>
    <w:rsid w:val="00901214"/>
    <w:rsid w:val="00906BB0"/>
    <w:rsid w:val="009264A8"/>
    <w:rsid w:val="0094279C"/>
    <w:rsid w:val="0094404B"/>
    <w:rsid w:val="00953015"/>
    <w:rsid w:val="00953524"/>
    <w:rsid w:val="00960241"/>
    <w:rsid w:val="00963AE2"/>
    <w:rsid w:val="00972EF1"/>
    <w:rsid w:val="00980ABD"/>
    <w:rsid w:val="00984673"/>
    <w:rsid w:val="00985843"/>
    <w:rsid w:val="0098640C"/>
    <w:rsid w:val="0098788F"/>
    <w:rsid w:val="00992481"/>
    <w:rsid w:val="00995F33"/>
    <w:rsid w:val="009964F6"/>
    <w:rsid w:val="0099660F"/>
    <w:rsid w:val="00996D68"/>
    <w:rsid w:val="009A34A3"/>
    <w:rsid w:val="009A4FF4"/>
    <w:rsid w:val="009A694C"/>
    <w:rsid w:val="009B0BDE"/>
    <w:rsid w:val="009B3D2B"/>
    <w:rsid w:val="009C5C90"/>
    <w:rsid w:val="009C7B32"/>
    <w:rsid w:val="009D2D69"/>
    <w:rsid w:val="009D78A6"/>
    <w:rsid w:val="009E3933"/>
    <w:rsid w:val="009F3A48"/>
    <w:rsid w:val="00A0310B"/>
    <w:rsid w:val="00A03631"/>
    <w:rsid w:val="00A07A7D"/>
    <w:rsid w:val="00A1239B"/>
    <w:rsid w:val="00A13EB0"/>
    <w:rsid w:val="00A21FA1"/>
    <w:rsid w:val="00A31F8C"/>
    <w:rsid w:val="00A40930"/>
    <w:rsid w:val="00A47761"/>
    <w:rsid w:val="00A56039"/>
    <w:rsid w:val="00A56786"/>
    <w:rsid w:val="00A573B1"/>
    <w:rsid w:val="00A73B2D"/>
    <w:rsid w:val="00A74634"/>
    <w:rsid w:val="00A754E7"/>
    <w:rsid w:val="00A76908"/>
    <w:rsid w:val="00A83E10"/>
    <w:rsid w:val="00A85560"/>
    <w:rsid w:val="00A8631C"/>
    <w:rsid w:val="00A9087A"/>
    <w:rsid w:val="00A96EB2"/>
    <w:rsid w:val="00AA2B87"/>
    <w:rsid w:val="00AB1AC1"/>
    <w:rsid w:val="00AB2868"/>
    <w:rsid w:val="00AB4AD0"/>
    <w:rsid w:val="00AB6597"/>
    <w:rsid w:val="00AB7F4C"/>
    <w:rsid w:val="00AC18CB"/>
    <w:rsid w:val="00AD2503"/>
    <w:rsid w:val="00AD5E6B"/>
    <w:rsid w:val="00AE2BD6"/>
    <w:rsid w:val="00AE6095"/>
    <w:rsid w:val="00B06B0B"/>
    <w:rsid w:val="00B07D17"/>
    <w:rsid w:val="00B1125E"/>
    <w:rsid w:val="00B13897"/>
    <w:rsid w:val="00B13F61"/>
    <w:rsid w:val="00B2242F"/>
    <w:rsid w:val="00B232EE"/>
    <w:rsid w:val="00B262AB"/>
    <w:rsid w:val="00B32B64"/>
    <w:rsid w:val="00B337FD"/>
    <w:rsid w:val="00B42D7E"/>
    <w:rsid w:val="00B77B7F"/>
    <w:rsid w:val="00B80977"/>
    <w:rsid w:val="00B8519D"/>
    <w:rsid w:val="00B95F98"/>
    <w:rsid w:val="00B97B2C"/>
    <w:rsid w:val="00BA4F73"/>
    <w:rsid w:val="00BA6D82"/>
    <w:rsid w:val="00BB0E39"/>
    <w:rsid w:val="00BB271B"/>
    <w:rsid w:val="00BB41C5"/>
    <w:rsid w:val="00BB7E72"/>
    <w:rsid w:val="00BC0158"/>
    <w:rsid w:val="00BC5041"/>
    <w:rsid w:val="00BC776D"/>
    <w:rsid w:val="00BD2B0C"/>
    <w:rsid w:val="00BD3F15"/>
    <w:rsid w:val="00BE7E99"/>
    <w:rsid w:val="00BF03EC"/>
    <w:rsid w:val="00BF117E"/>
    <w:rsid w:val="00BF1607"/>
    <w:rsid w:val="00BF1E3E"/>
    <w:rsid w:val="00C009D8"/>
    <w:rsid w:val="00C07836"/>
    <w:rsid w:val="00C20056"/>
    <w:rsid w:val="00C22A9D"/>
    <w:rsid w:val="00C232D9"/>
    <w:rsid w:val="00C237B1"/>
    <w:rsid w:val="00C24675"/>
    <w:rsid w:val="00C276F2"/>
    <w:rsid w:val="00C3539D"/>
    <w:rsid w:val="00C353D1"/>
    <w:rsid w:val="00C378A7"/>
    <w:rsid w:val="00C41FE2"/>
    <w:rsid w:val="00C55929"/>
    <w:rsid w:val="00C55ABF"/>
    <w:rsid w:val="00C66780"/>
    <w:rsid w:val="00C66798"/>
    <w:rsid w:val="00C72858"/>
    <w:rsid w:val="00C80CC0"/>
    <w:rsid w:val="00C87353"/>
    <w:rsid w:val="00C92D10"/>
    <w:rsid w:val="00C938DC"/>
    <w:rsid w:val="00C9622A"/>
    <w:rsid w:val="00CA2AC5"/>
    <w:rsid w:val="00CA2E49"/>
    <w:rsid w:val="00CA6BD8"/>
    <w:rsid w:val="00CA7B94"/>
    <w:rsid w:val="00CB15AD"/>
    <w:rsid w:val="00CB3871"/>
    <w:rsid w:val="00CB70E0"/>
    <w:rsid w:val="00CD2BDF"/>
    <w:rsid w:val="00CD33BF"/>
    <w:rsid w:val="00CD3DFF"/>
    <w:rsid w:val="00CD41CC"/>
    <w:rsid w:val="00CE01C2"/>
    <w:rsid w:val="00CE6B3C"/>
    <w:rsid w:val="00CF2C77"/>
    <w:rsid w:val="00D05BCF"/>
    <w:rsid w:val="00D14C4D"/>
    <w:rsid w:val="00D172C8"/>
    <w:rsid w:val="00D2030F"/>
    <w:rsid w:val="00D21B9B"/>
    <w:rsid w:val="00D22AEB"/>
    <w:rsid w:val="00D22EA3"/>
    <w:rsid w:val="00D237E5"/>
    <w:rsid w:val="00D26E6B"/>
    <w:rsid w:val="00D34EB0"/>
    <w:rsid w:val="00D37A8B"/>
    <w:rsid w:val="00D47931"/>
    <w:rsid w:val="00D514FE"/>
    <w:rsid w:val="00D54688"/>
    <w:rsid w:val="00D54D94"/>
    <w:rsid w:val="00D607E7"/>
    <w:rsid w:val="00D639F9"/>
    <w:rsid w:val="00D6517B"/>
    <w:rsid w:val="00D757C1"/>
    <w:rsid w:val="00D8149E"/>
    <w:rsid w:val="00D85BBF"/>
    <w:rsid w:val="00D94555"/>
    <w:rsid w:val="00D96095"/>
    <w:rsid w:val="00D97993"/>
    <w:rsid w:val="00DA5025"/>
    <w:rsid w:val="00DB19F3"/>
    <w:rsid w:val="00DB1CAA"/>
    <w:rsid w:val="00DB309D"/>
    <w:rsid w:val="00DB354B"/>
    <w:rsid w:val="00DB716E"/>
    <w:rsid w:val="00DC283E"/>
    <w:rsid w:val="00DC6539"/>
    <w:rsid w:val="00DD029A"/>
    <w:rsid w:val="00DD6267"/>
    <w:rsid w:val="00DD7E39"/>
    <w:rsid w:val="00DE111F"/>
    <w:rsid w:val="00DE2D9B"/>
    <w:rsid w:val="00DE5F21"/>
    <w:rsid w:val="00DF34B9"/>
    <w:rsid w:val="00DF7EEB"/>
    <w:rsid w:val="00E002A0"/>
    <w:rsid w:val="00E039F0"/>
    <w:rsid w:val="00E03B37"/>
    <w:rsid w:val="00E05675"/>
    <w:rsid w:val="00E06922"/>
    <w:rsid w:val="00E06BB0"/>
    <w:rsid w:val="00E0757D"/>
    <w:rsid w:val="00E1565E"/>
    <w:rsid w:val="00E20CF6"/>
    <w:rsid w:val="00E21856"/>
    <w:rsid w:val="00E22BD3"/>
    <w:rsid w:val="00E23755"/>
    <w:rsid w:val="00E2723C"/>
    <w:rsid w:val="00E426F7"/>
    <w:rsid w:val="00E5271D"/>
    <w:rsid w:val="00E53D2E"/>
    <w:rsid w:val="00E55EFB"/>
    <w:rsid w:val="00E62E2A"/>
    <w:rsid w:val="00E71659"/>
    <w:rsid w:val="00E71C3A"/>
    <w:rsid w:val="00E73B85"/>
    <w:rsid w:val="00E77BFD"/>
    <w:rsid w:val="00E826BC"/>
    <w:rsid w:val="00E832F1"/>
    <w:rsid w:val="00E853D3"/>
    <w:rsid w:val="00E85993"/>
    <w:rsid w:val="00E87059"/>
    <w:rsid w:val="00E915F5"/>
    <w:rsid w:val="00E95596"/>
    <w:rsid w:val="00E97874"/>
    <w:rsid w:val="00EA3B14"/>
    <w:rsid w:val="00EA5E1F"/>
    <w:rsid w:val="00EA7F07"/>
    <w:rsid w:val="00EB154D"/>
    <w:rsid w:val="00EB2A60"/>
    <w:rsid w:val="00EC0315"/>
    <w:rsid w:val="00EC6130"/>
    <w:rsid w:val="00ED0CD7"/>
    <w:rsid w:val="00ED3B1D"/>
    <w:rsid w:val="00ED4425"/>
    <w:rsid w:val="00ED4967"/>
    <w:rsid w:val="00ED54ED"/>
    <w:rsid w:val="00ED5955"/>
    <w:rsid w:val="00EE5A4D"/>
    <w:rsid w:val="00EF36EF"/>
    <w:rsid w:val="00EF3A79"/>
    <w:rsid w:val="00EF4D68"/>
    <w:rsid w:val="00EF632E"/>
    <w:rsid w:val="00F01291"/>
    <w:rsid w:val="00F02F3C"/>
    <w:rsid w:val="00F054B9"/>
    <w:rsid w:val="00F1489A"/>
    <w:rsid w:val="00F20410"/>
    <w:rsid w:val="00F25475"/>
    <w:rsid w:val="00F305C5"/>
    <w:rsid w:val="00F37099"/>
    <w:rsid w:val="00F436F5"/>
    <w:rsid w:val="00F4455D"/>
    <w:rsid w:val="00F46CE8"/>
    <w:rsid w:val="00F47453"/>
    <w:rsid w:val="00F52832"/>
    <w:rsid w:val="00F53986"/>
    <w:rsid w:val="00F54211"/>
    <w:rsid w:val="00F549B8"/>
    <w:rsid w:val="00F615B1"/>
    <w:rsid w:val="00F62530"/>
    <w:rsid w:val="00F63BDE"/>
    <w:rsid w:val="00F64D70"/>
    <w:rsid w:val="00F65744"/>
    <w:rsid w:val="00F71B7D"/>
    <w:rsid w:val="00F73680"/>
    <w:rsid w:val="00F745E6"/>
    <w:rsid w:val="00F76F1D"/>
    <w:rsid w:val="00F8458F"/>
    <w:rsid w:val="00F872B0"/>
    <w:rsid w:val="00F87FE6"/>
    <w:rsid w:val="00F93952"/>
    <w:rsid w:val="00F93D0B"/>
    <w:rsid w:val="00F94DBA"/>
    <w:rsid w:val="00FA3B05"/>
    <w:rsid w:val="00FA4B34"/>
    <w:rsid w:val="00FA7C3C"/>
    <w:rsid w:val="00FB23D1"/>
    <w:rsid w:val="00FC36D1"/>
    <w:rsid w:val="00FC5EBB"/>
    <w:rsid w:val="00FC5FDC"/>
    <w:rsid w:val="00FD1E0A"/>
    <w:rsid w:val="00FD24DF"/>
    <w:rsid w:val="00FE0F52"/>
    <w:rsid w:val="00FE5C81"/>
    <w:rsid w:val="00FE7EF6"/>
    <w:rsid w:val="02510317"/>
    <w:rsid w:val="0601761D"/>
    <w:rsid w:val="067F2618"/>
    <w:rsid w:val="077102C6"/>
    <w:rsid w:val="07A04054"/>
    <w:rsid w:val="08AD2B1C"/>
    <w:rsid w:val="0BFE3B2D"/>
    <w:rsid w:val="0DDC627F"/>
    <w:rsid w:val="112B1E2E"/>
    <w:rsid w:val="173D4518"/>
    <w:rsid w:val="18F21641"/>
    <w:rsid w:val="19F121E3"/>
    <w:rsid w:val="219544B1"/>
    <w:rsid w:val="24882A78"/>
    <w:rsid w:val="24DB4559"/>
    <w:rsid w:val="251520FD"/>
    <w:rsid w:val="26B80200"/>
    <w:rsid w:val="28E5642D"/>
    <w:rsid w:val="341742C8"/>
    <w:rsid w:val="36DB2B16"/>
    <w:rsid w:val="37E162FD"/>
    <w:rsid w:val="38E20095"/>
    <w:rsid w:val="3A8A16B5"/>
    <w:rsid w:val="3B78643F"/>
    <w:rsid w:val="434721E8"/>
    <w:rsid w:val="46ED38DB"/>
    <w:rsid w:val="496418FF"/>
    <w:rsid w:val="4BC40F2E"/>
    <w:rsid w:val="4BE21CD3"/>
    <w:rsid w:val="4CD22461"/>
    <w:rsid w:val="531B325D"/>
    <w:rsid w:val="54C20E0C"/>
    <w:rsid w:val="55796B4A"/>
    <w:rsid w:val="58817F67"/>
    <w:rsid w:val="58CD58C2"/>
    <w:rsid w:val="59D820E4"/>
    <w:rsid w:val="5BBB0A7D"/>
    <w:rsid w:val="5DA33D90"/>
    <w:rsid w:val="5DA67569"/>
    <w:rsid w:val="5F2D394E"/>
    <w:rsid w:val="5FBD201D"/>
    <w:rsid w:val="60DB4243"/>
    <w:rsid w:val="641A14E7"/>
    <w:rsid w:val="661E74FC"/>
    <w:rsid w:val="669009A2"/>
    <w:rsid w:val="67A069A0"/>
    <w:rsid w:val="6B124B35"/>
    <w:rsid w:val="6BAD1975"/>
    <w:rsid w:val="6CFF66AF"/>
    <w:rsid w:val="6DC509C7"/>
    <w:rsid w:val="6DD66B52"/>
    <w:rsid w:val="70553E45"/>
    <w:rsid w:val="707C5D13"/>
    <w:rsid w:val="70FB0836"/>
    <w:rsid w:val="71BE68DC"/>
    <w:rsid w:val="729D5E27"/>
    <w:rsid w:val="741A5460"/>
    <w:rsid w:val="74A45FF3"/>
    <w:rsid w:val="76EF13FE"/>
    <w:rsid w:val="7878110F"/>
    <w:rsid w:val="7AEA4429"/>
    <w:rsid w:val="7BCB4C06"/>
    <w:rsid w:val="7CA969AC"/>
    <w:rsid w:val="7E57103B"/>
    <w:rsid w:val="7F7C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semiHidden/>
    <w:unhideWhenUsed/>
    <w:qFormat/>
    <w:uiPriority w:val="9"/>
    <w:pPr>
      <w:keepNext/>
      <w:keepLines/>
      <w:spacing w:before="260" w:after="260" w:line="416" w:lineRule="atLeast"/>
      <w:outlineLvl w:val="2"/>
    </w:pPr>
    <w:rPr>
      <w:b/>
      <w:bCs/>
      <w:sz w:val="32"/>
      <w:szCs w:val="32"/>
    </w:rPr>
  </w:style>
  <w:style w:type="paragraph" w:styleId="5">
    <w:name w:val="heading 5"/>
    <w:basedOn w:val="1"/>
    <w:next w:val="1"/>
    <w:link w:val="36"/>
    <w:semiHidden/>
    <w:unhideWhenUsed/>
    <w:qFormat/>
    <w:uiPriority w:val="9"/>
    <w:pPr>
      <w:keepNext/>
      <w:keepLines/>
      <w:spacing w:before="280" w:after="290" w:line="376" w:lineRule="atLeast"/>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6"/>
    <w:semiHidden/>
    <w:unhideWhenUsed/>
    <w:qFormat/>
    <w:uiPriority w:val="99"/>
    <w:pPr>
      <w:spacing w:after="120"/>
    </w:pPr>
  </w:style>
  <w:style w:type="paragraph" w:styleId="7">
    <w:name w:val="toc 3"/>
    <w:basedOn w:val="1"/>
    <w:next w:val="1"/>
    <w:unhideWhenUsed/>
    <w:qFormat/>
    <w:uiPriority w:val="39"/>
    <w:pPr>
      <w:ind w:left="840" w:leftChars="400"/>
    </w:pPr>
  </w:style>
  <w:style w:type="paragraph" w:styleId="8">
    <w:name w:val="Plain Text"/>
    <w:basedOn w:val="1"/>
    <w:link w:val="30"/>
    <w:qFormat/>
    <w:uiPriority w:val="99"/>
    <w:pPr>
      <w:widowControl w:val="0"/>
      <w:spacing w:line="240" w:lineRule="auto"/>
      <w:jc w:val="both"/>
    </w:pPr>
    <w:rPr>
      <w:rFonts w:ascii="宋体" w:hAnsi="Courier New" w:cs="宋体"/>
      <w:kern w:val="0"/>
      <w:sz w:val="20"/>
      <w:szCs w:val="20"/>
    </w:rPr>
  </w:style>
  <w:style w:type="paragraph" w:styleId="9">
    <w:name w:val="Body Text Indent 2"/>
    <w:basedOn w:val="1"/>
    <w:link w:val="31"/>
    <w:semiHidden/>
    <w:unhideWhenUsed/>
    <w:qFormat/>
    <w:uiPriority w:val="99"/>
    <w:pPr>
      <w:spacing w:after="120" w:line="480" w:lineRule="auto"/>
      <w:ind w:left="420" w:leftChars="200"/>
    </w:pPr>
  </w:style>
  <w:style w:type="paragraph" w:styleId="10">
    <w:name w:val="Balloon Text"/>
    <w:basedOn w:val="1"/>
    <w:link w:val="33"/>
    <w:semiHidden/>
    <w:unhideWhenUsed/>
    <w:qFormat/>
    <w:uiPriority w:val="99"/>
    <w:pPr>
      <w:spacing w:line="240" w:lineRule="auto"/>
    </w:pPr>
    <w:rPr>
      <w:sz w:val="18"/>
      <w:szCs w:val="18"/>
    </w:rPr>
  </w:style>
  <w:style w:type="paragraph" w:styleId="11">
    <w:name w:val="footer"/>
    <w:basedOn w:val="1"/>
    <w:link w:val="23"/>
    <w:unhideWhenUsed/>
    <w:qFormat/>
    <w:uiPriority w:val="99"/>
    <w:pPr>
      <w:tabs>
        <w:tab w:val="center" w:pos="4153"/>
        <w:tab w:val="right" w:pos="8306"/>
      </w:tabs>
      <w:snapToGrid w:val="0"/>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100" w:beforeAutospacing="1" w:after="100" w:afterAutospacing="1"/>
    </w:pPr>
    <w:rPr>
      <w:rFonts w:ascii="宋体" w:hAnsi="宋体"/>
      <w:kern w:val="0"/>
      <w:sz w:val="24"/>
      <w:szCs w:val="20"/>
    </w:rPr>
  </w:style>
  <w:style w:type="paragraph" w:styleId="16">
    <w:name w:val="Body Text First Indent"/>
    <w:basedOn w:val="6"/>
    <w:link w:val="27"/>
    <w:qFormat/>
    <w:uiPriority w:val="99"/>
    <w:pPr>
      <w:ind w:firstLine="420" w:firstLineChars="100"/>
    </w:pPr>
    <w:rPr>
      <w:rFonts w:ascii="Times New Roman" w:hAnsi="Times New Roman"/>
      <w:szCs w:val="20"/>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i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页眉 Char"/>
    <w:basedOn w:val="19"/>
    <w:link w:val="12"/>
    <w:qFormat/>
    <w:uiPriority w:val="99"/>
    <w:rPr>
      <w:sz w:val="18"/>
      <w:szCs w:val="18"/>
    </w:rPr>
  </w:style>
  <w:style w:type="character" w:customStyle="1" w:styleId="23">
    <w:name w:val="页脚 Char"/>
    <w:basedOn w:val="19"/>
    <w:link w:val="11"/>
    <w:qFormat/>
    <w:uiPriority w:val="99"/>
    <w:rPr>
      <w:sz w:val="18"/>
      <w:szCs w:val="18"/>
    </w:rPr>
  </w:style>
  <w:style w:type="character" w:customStyle="1" w:styleId="24">
    <w:name w:val="标题 2 Char"/>
    <w:basedOn w:val="19"/>
    <w:link w:val="3"/>
    <w:qFormat/>
    <w:uiPriority w:val="0"/>
    <w:rPr>
      <w:rFonts w:asciiTheme="majorHAnsi" w:hAnsiTheme="majorHAnsi" w:eastAsiaTheme="majorEastAsia" w:cstheme="majorBidi"/>
      <w:b/>
      <w:bCs/>
      <w:sz w:val="32"/>
      <w:szCs w:val="32"/>
    </w:rPr>
  </w:style>
  <w:style w:type="paragraph" w:customStyle="1" w:styleId="25">
    <w:name w:val="List Paragraph1"/>
    <w:basedOn w:val="1"/>
    <w:qFormat/>
    <w:uiPriority w:val="99"/>
    <w:pPr>
      <w:ind w:firstLine="420" w:firstLineChars="200"/>
    </w:pPr>
    <w:rPr>
      <w:rFonts w:ascii="Times New Roman" w:hAnsi="Times New Roman"/>
      <w:szCs w:val="20"/>
    </w:rPr>
  </w:style>
  <w:style w:type="character" w:customStyle="1" w:styleId="26">
    <w:name w:val="正文文本 Char"/>
    <w:basedOn w:val="19"/>
    <w:link w:val="6"/>
    <w:semiHidden/>
    <w:qFormat/>
    <w:uiPriority w:val="99"/>
    <w:rPr>
      <w:rFonts w:ascii="Calibri" w:hAnsi="Calibri" w:eastAsia="宋体" w:cs="Times New Roman"/>
      <w:szCs w:val="24"/>
    </w:rPr>
  </w:style>
  <w:style w:type="character" w:customStyle="1" w:styleId="27">
    <w:name w:val="正文首行缩进 Char"/>
    <w:basedOn w:val="26"/>
    <w:link w:val="16"/>
    <w:qFormat/>
    <w:uiPriority w:val="99"/>
    <w:rPr>
      <w:rFonts w:ascii="Times New Roman" w:hAnsi="Times New Roman" w:eastAsia="宋体" w:cs="Times New Roman"/>
      <w:szCs w:val="20"/>
    </w:rPr>
  </w:style>
  <w:style w:type="paragraph" w:styleId="28">
    <w:name w:val="List Paragraph"/>
    <w:basedOn w:val="1"/>
    <w:link w:val="29"/>
    <w:qFormat/>
    <w:uiPriority w:val="34"/>
    <w:pPr>
      <w:ind w:firstLine="420" w:firstLineChars="200"/>
    </w:pPr>
  </w:style>
  <w:style w:type="character" w:customStyle="1" w:styleId="29">
    <w:name w:val="列出段落 Char"/>
    <w:basedOn w:val="19"/>
    <w:link w:val="28"/>
    <w:qFormat/>
    <w:uiPriority w:val="34"/>
    <w:rPr>
      <w:rFonts w:ascii="Calibri" w:hAnsi="Calibri" w:eastAsia="宋体" w:cs="Times New Roman"/>
      <w:szCs w:val="24"/>
    </w:rPr>
  </w:style>
  <w:style w:type="character" w:customStyle="1" w:styleId="30">
    <w:name w:val="纯文本 Char"/>
    <w:basedOn w:val="19"/>
    <w:link w:val="8"/>
    <w:qFormat/>
    <w:uiPriority w:val="99"/>
    <w:rPr>
      <w:rFonts w:ascii="宋体" w:hAnsi="Courier New" w:eastAsia="宋体" w:cs="宋体"/>
      <w:kern w:val="0"/>
      <w:sz w:val="20"/>
      <w:szCs w:val="20"/>
    </w:rPr>
  </w:style>
  <w:style w:type="character" w:customStyle="1" w:styleId="31">
    <w:name w:val="正文文本缩进 2 Char"/>
    <w:basedOn w:val="19"/>
    <w:link w:val="9"/>
    <w:semiHidden/>
    <w:qFormat/>
    <w:uiPriority w:val="99"/>
    <w:rPr>
      <w:rFonts w:ascii="Calibri" w:hAnsi="Calibri" w:eastAsia="宋体" w:cs="Times New Roman"/>
      <w:szCs w:val="24"/>
    </w:rPr>
  </w:style>
  <w:style w:type="paragraph" w:customStyle="1" w:styleId="32">
    <w:name w:val="表格内容"/>
    <w:qFormat/>
    <w:uiPriority w:val="0"/>
    <w:pPr>
      <w:jc w:val="center"/>
    </w:pPr>
    <w:rPr>
      <w:rFonts w:ascii="Times New Roman" w:hAnsi="Times New Roman" w:eastAsia="宋体" w:cs="Times New Roman"/>
      <w:kern w:val="2"/>
      <w:sz w:val="21"/>
      <w:lang w:val="en-US" w:eastAsia="zh-CN" w:bidi="ar-SA"/>
    </w:rPr>
  </w:style>
  <w:style w:type="character" w:customStyle="1" w:styleId="33">
    <w:name w:val="批注框文本 Char"/>
    <w:basedOn w:val="19"/>
    <w:link w:val="10"/>
    <w:semiHidden/>
    <w:qFormat/>
    <w:uiPriority w:val="99"/>
    <w:rPr>
      <w:rFonts w:ascii="Calibri" w:hAnsi="Calibri" w:eastAsia="宋体" w:cs="Times New Roman"/>
      <w:sz w:val="18"/>
      <w:szCs w:val="18"/>
    </w:rPr>
  </w:style>
  <w:style w:type="character" w:customStyle="1" w:styleId="34">
    <w:name w:val="标题 1 Char"/>
    <w:basedOn w:val="19"/>
    <w:link w:val="2"/>
    <w:qFormat/>
    <w:uiPriority w:val="9"/>
    <w:rPr>
      <w:rFonts w:ascii="Calibri" w:hAnsi="Calibri" w:eastAsia="宋体" w:cs="Times New Roman"/>
      <w:b/>
      <w:bCs/>
      <w:kern w:val="44"/>
      <w:sz w:val="44"/>
      <w:szCs w:val="44"/>
    </w:rPr>
  </w:style>
  <w:style w:type="paragraph" w:customStyle="1" w:styleId="35">
    <w:name w:val="列出段落1"/>
    <w:basedOn w:val="1"/>
    <w:qFormat/>
    <w:uiPriority w:val="99"/>
    <w:pPr>
      <w:widowControl w:val="0"/>
      <w:spacing w:line="240" w:lineRule="auto"/>
      <w:ind w:firstLine="420" w:firstLineChars="200"/>
      <w:jc w:val="both"/>
    </w:pPr>
    <w:rPr>
      <w:rFonts w:cs="Calibri"/>
      <w:szCs w:val="21"/>
    </w:rPr>
  </w:style>
  <w:style w:type="character" w:customStyle="1" w:styleId="36">
    <w:name w:val="标题 5 Char"/>
    <w:basedOn w:val="19"/>
    <w:link w:val="5"/>
    <w:semiHidden/>
    <w:qFormat/>
    <w:uiPriority w:val="9"/>
    <w:rPr>
      <w:rFonts w:ascii="Calibri" w:hAnsi="Calibri" w:eastAsia="宋体" w:cs="Times New Roman"/>
      <w:b/>
      <w:bCs/>
      <w:sz w:val="28"/>
      <w:szCs w:val="28"/>
    </w:rPr>
  </w:style>
  <w:style w:type="paragraph" w:customStyle="1" w:styleId="37">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标题 3 Char"/>
    <w:basedOn w:val="19"/>
    <w:link w:val="4"/>
    <w:qFormat/>
    <w:uiPriority w:val="9"/>
    <w:rPr>
      <w:rFonts w:ascii="Calibri" w:hAnsi="Calibri" w:eastAsia="宋体" w:cs="Times New Roman"/>
      <w:b/>
      <w:bCs/>
      <w:sz w:val="32"/>
      <w:szCs w:val="32"/>
    </w:rPr>
  </w:style>
  <w:style w:type="paragraph" w:styleId="3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F9A67-5416-4D40-83FA-0EA3DD42148D}">
  <ds:schemaRefs/>
</ds:datastoreItem>
</file>

<file path=docProps/app.xml><?xml version="1.0" encoding="utf-8"?>
<Properties xmlns="http://schemas.openxmlformats.org/officeDocument/2006/extended-properties" xmlns:vt="http://schemas.openxmlformats.org/officeDocument/2006/docPropsVTypes">
  <Template>Normal</Template>
  <Company>Seentao</Company>
  <Pages>5</Pages>
  <Words>2656</Words>
  <Characters>836</Characters>
  <Lines>6</Lines>
  <Paragraphs>6</Paragraphs>
  <TotalTime>37</TotalTime>
  <ScaleCrop>false</ScaleCrop>
  <LinksUpToDate>false</LinksUpToDate>
  <CharactersWithSpaces>3486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2021-09-22T00:32:00Z</dcterms:created>
  <dc:creator>lfl</dc:creator>
  <cp:lastModifiedBy>꧁༺嘴哥༻꧂</cp:lastModifiedBy>
  <cp:lastPrinted>2021-09-22T06:36:00Z</cp:lastPrinted>
  <dcterms:modified xsi:type="dcterms:W3CDTF">2021-11-04T07:30:53Z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170526B8A4294FF2BD88FF89798DDEE1</vt:lpwstr>
  </property>
</Properties>
</file>