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铜仁职业技术学院国家奖学金实施细则（试行）</w:t>
      </w:r>
    </w:p>
    <w:p>
      <w:pPr>
        <w:pStyle w:val="6"/>
        <w:rPr>
          <w:sz w:val="21"/>
          <w:szCs w:val="21"/>
        </w:rPr>
      </w:pPr>
      <w:r>
        <w:rPr>
          <w:rFonts w:hint="eastAsia"/>
          <w:sz w:val="21"/>
          <w:szCs w:val="21"/>
        </w:rPr>
        <w:t>第一章  总 则</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第一条</w:t>
      </w:r>
      <w:r>
        <w:rPr>
          <w:rFonts w:hint="eastAsia" w:ascii="宋体" w:hAnsi="宋体" w:cs="宋体"/>
          <w:sz w:val="21"/>
          <w:szCs w:val="21"/>
        </w:rPr>
        <w:t xml:space="preserve">  根据贵州省财政厅、教育厅关于《贵州省普通本科高校、高等职业学校国家奖学金实施管理细则》，结合我院实际,制定本实施细则。</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 xml:space="preserve">第二条 </w:t>
      </w:r>
      <w:r>
        <w:rPr>
          <w:rFonts w:hint="eastAsia" w:ascii="宋体" w:hAnsi="宋体" w:cs="宋体"/>
          <w:b/>
          <w:bCs/>
          <w:sz w:val="21"/>
          <w:szCs w:val="21"/>
        </w:rPr>
        <w:t xml:space="preserve"> </w:t>
      </w:r>
      <w:r>
        <w:rPr>
          <w:rFonts w:hint="eastAsia" w:ascii="宋体" w:hAnsi="宋体" w:cs="宋体"/>
          <w:sz w:val="21"/>
          <w:szCs w:val="21"/>
        </w:rPr>
        <w:t>国家奖学金由中央政府出资设立，用于奖励高校全日制本专科（含高职、第二学士学位）学生（以下简称学生）中特别优秀的学生。</w:t>
      </w:r>
    </w:p>
    <w:p>
      <w:pPr>
        <w:adjustRightInd w:val="0"/>
        <w:snapToGrid w:val="0"/>
        <w:spacing w:line="400" w:lineRule="exact"/>
        <w:ind w:firstLine="404"/>
        <w:jc w:val="both"/>
        <w:rPr>
          <w:rFonts w:ascii="宋体" w:hAnsi="宋体" w:cs="宋体"/>
          <w:spacing w:val="-4"/>
          <w:sz w:val="21"/>
          <w:szCs w:val="21"/>
        </w:rPr>
      </w:pPr>
      <w:r>
        <w:rPr>
          <w:rFonts w:hint="eastAsia" w:ascii="宋体" w:hAnsi="宋体" w:cs="宋体"/>
          <w:spacing w:val="-4"/>
          <w:sz w:val="21"/>
          <w:szCs w:val="21"/>
        </w:rPr>
        <w:t>我院国家奖学金的名额由省财政厅、省教育厅根据我院高职在校学生总数按比例确定。</w:t>
      </w:r>
    </w:p>
    <w:p>
      <w:pPr>
        <w:pStyle w:val="6"/>
        <w:rPr>
          <w:sz w:val="21"/>
          <w:szCs w:val="21"/>
        </w:rPr>
      </w:pPr>
      <w:r>
        <w:rPr>
          <w:rFonts w:hint="eastAsia"/>
          <w:sz w:val="21"/>
          <w:szCs w:val="21"/>
        </w:rPr>
        <w:t>第二章  奖励对象、标准与申请条件</w:t>
      </w:r>
    </w:p>
    <w:p>
      <w:pPr>
        <w:adjustRightInd w:val="0"/>
        <w:snapToGrid w:val="0"/>
        <w:spacing w:line="400" w:lineRule="exact"/>
        <w:ind w:firstLine="422"/>
        <w:jc w:val="both"/>
        <w:rPr>
          <w:rFonts w:ascii="宋体" w:hAnsi="宋体" w:cs="宋体"/>
          <w:bCs/>
          <w:sz w:val="21"/>
          <w:szCs w:val="21"/>
        </w:rPr>
      </w:pPr>
      <w:r>
        <w:rPr>
          <w:rFonts w:hint="eastAsia" w:ascii="宋体" w:hAnsi="宋体" w:cs="宋体"/>
          <w:b/>
          <w:sz w:val="21"/>
          <w:szCs w:val="21"/>
        </w:rPr>
        <w:t>第三条</w:t>
      </w:r>
      <w:r>
        <w:rPr>
          <w:rFonts w:hint="eastAsia" w:ascii="宋体" w:hAnsi="宋体" w:cs="宋体"/>
          <w:b/>
          <w:bCs/>
          <w:sz w:val="21"/>
          <w:szCs w:val="21"/>
        </w:rPr>
        <w:t xml:space="preserve">  </w:t>
      </w:r>
      <w:r>
        <w:rPr>
          <w:rFonts w:hint="eastAsia" w:ascii="宋体" w:hAnsi="宋体" w:cs="宋体"/>
          <w:sz w:val="21"/>
          <w:szCs w:val="21"/>
        </w:rPr>
        <w:t>国家奖学金的奖励对象</w:t>
      </w:r>
      <w:r>
        <w:rPr>
          <w:rFonts w:hint="eastAsia" w:ascii="宋体" w:hAnsi="宋体" w:cs="宋体"/>
          <w:bCs/>
          <w:sz w:val="21"/>
          <w:szCs w:val="21"/>
        </w:rPr>
        <w:t>为我院高职二年级以上（含二年级）的学生。</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同一学年内，获得国家奖学金的家庭经济困难学生可以同时申请国家助学金，但不能同时申请国家励志奖学金。</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 xml:space="preserve">第四条  </w:t>
      </w:r>
      <w:r>
        <w:rPr>
          <w:rFonts w:hint="eastAsia" w:ascii="宋体" w:hAnsi="宋体" w:cs="宋体"/>
          <w:sz w:val="21"/>
          <w:szCs w:val="21"/>
        </w:rPr>
        <w:t>国家奖学金的奖励标准为每人每年8000元（分学年发放）。</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 xml:space="preserve">第五条 </w:t>
      </w:r>
      <w:r>
        <w:rPr>
          <w:rFonts w:hint="eastAsia" w:ascii="宋体" w:hAnsi="宋体" w:cs="宋体"/>
          <w:b/>
          <w:bCs/>
          <w:sz w:val="21"/>
          <w:szCs w:val="21"/>
        </w:rPr>
        <w:t xml:space="preserve"> </w:t>
      </w:r>
      <w:r>
        <w:rPr>
          <w:rFonts w:hint="eastAsia" w:ascii="宋体" w:hAnsi="宋体" w:cs="宋体"/>
          <w:sz w:val="21"/>
          <w:szCs w:val="21"/>
        </w:rPr>
        <w:t>国家奖学金的基本申请条件: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（一）热爱社会主义祖国，拥护中国共产党的领导；政治立场坚定，思想进步，道德品质优良。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（二）自觉遵守宪法和法律，遵守学校各项规章制度，无违纪行为；</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（三） 生活俭朴，尊敬师长，团结同学，关心集体，敢于开展批评与自我批评，有良好的社会主义道德风尚。</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（四）在校期间学习成绩优异，勤奋刻苦，上学年学习中没有出现补考科目、学年所学科目成绩平均分原则上应达85分以上，社会实践、创新能力、综合素质等方面特别突出；</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第六条</w:t>
      </w:r>
      <w:r>
        <w:rPr>
          <w:rFonts w:hint="eastAsia" w:ascii="宋体" w:hAnsi="宋体" w:cs="宋体"/>
          <w:sz w:val="21"/>
          <w:szCs w:val="21"/>
        </w:rPr>
        <w:t xml:space="preserve">  各二级学院应根据学生思想品德、学习成绩、体育锻炼、校规校纪等方面，结合学年“评优”活动，对学生进行全面考核，综合测评。</w:t>
      </w:r>
    </w:p>
    <w:p>
      <w:pPr>
        <w:pStyle w:val="6"/>
        <w:rPr>
          <w:sz w:val="21"/>
          <w:szCs w:val="21"/>
        </w:rPr>
      </w:pPr>
      <w:r>
        <w:rPr>
          <w:rFonts w:hint="eastAsia"/>
          <w:sz w:val="21"/>
          <w:szCs w:val="21"/>
        </w:rPr>
        <w:t>第三章  国家奖学金的申请和评审</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第七条</w:t>
      </w:r>
      <w:r>
        <w:rPr>
          <w:rFonts w:hint="eastAsia" w:ascii="宋体" w:hAnsi="宋体" w:cs="宋体"/>
          <w:sz w:val="21"/>
          <w:szCs w:val="21"/>
        </w:rPr>
        <w:t xml:space="preserve">  国家奖学金按年度申请和评审。学院于每年10月开始受理申请，并于规定时间内将推荐名单及有关推荐材料报送省教育厅。</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第八条</w:t>
      </w:r>
      <w:r>
        <w:rPr>
          <w:rFonts w:hint="eastAsia" w:ascii="宋体" w:hAnsi="宋体" w:cs="宋体"/>
          <w:sz w:val="21"/>
          <w:szCs w:val="21"/>
        </w:rPr>
        <w:t xml:space="preserve">  每年9月30日前，学生向所在班级提出申请，并递交《国家奖学金申请审批表》、《铜仁职院学生学年学习成绩统计表》和获奖证书复印件等申请材料，上述所需表格可通过学院学生资助管理中心网站下载。班级进行5天公示，无异议后上报所在二级学院学生资助工作小组评审。</w:t>
      </w:r>
    </w:p>
    <w:p>
      <w:pPr>
        <w:adjustRightInd w:val="0"/>
        <w:snapToGrid w:val="0"/>
        <w:spacing w:line="400" w:lineRule="exact"/>
        <w:ind w:firstLine="422"/>
        <w:jc w:val="both"/>
        <w:rPr>
          <w:rFonts w:ascii="宋体" w:hAnsi="宋体" w:cs="宋体"/>
          <w:spacing w:val="-2"/>
          <w:sz w:val="21"/>
          <w:szCs w:val="21"/>
        </w:rPr>
      </w:pPr>
      <w:r>
        <w:rPr>
          <w:rFonts w:hint="eastAsia" w:ascii="宋体" w:hAnsi="宋体" w:cs="宋体"/>
          <w:b/>
          <w:sz w:val="21"/>
          <w:szCs w:val="21"/>
        </w:rPr>
        <w:t xml:space="preserve">第九条 </w:t>
      </w:r>
      <w:r>
        <w:rPr>
          <w:rFonts w:hint="eastAsia" w:ascii="宋体" w:hAnsi="宋体" w:cs="宋体"/>
          <w:sz w:val="21"/>
          <w:szCs w:val="21"/>
        </w:rPr>
        <w:t>各二级学院学生资助工作小组将初评结果进行为期5天的公示，无异议后将初评相关材料上报</w:t>
      </w:r>
      <w:r>
        <w:rPr>
          <w:rFonts w:hint="eastAsia" w:ascii="宋体" w:hAnsi="宋体" w:cs="宋体"/>
          <w:spacing w:val="-2"/>
          <w:sz w:val="21"/>
          <w:szCs w:val="21"/>
        </w:rPr>
        <w:t>学院学生资助管理中心；学生资助管理中心根据国家奖学金申请基本条件，对各二级学院提交的推荐名单和有关材料进行复核，复核合格后</w:t>
      </w:r>
      <w:r>
        <w:rPr>
          <w:rFonts w:hint="eastAsia" w:ascii="宋体" w:hAnsi="宋体" w:cs="宋体"/>
          <w:sz w:val="21"/>
          <w:szCs w:val="21"/>
        </w:rPr>
        <w:t>报学院学生资助工作领导小组评审，然后将院级评审结果再进行为期5天的公示，无异议后上报院长办公会审定。学院学生资助管理中心负责将国家奖学金最终评定结果报教育厅备案和审批。</w:t>
      </w:r>
    </w:p>
    <w:p>
      <w:pPr>
        <w:pStyle w:val="6"/>
        <w:rPr>
          <w:szCs w:val="24"/>
        </w:rPr>
      </w:pPr>
      <w:r>
        <w:rPr>
          <w:rFonts w:hint="eastAsia"/>
          <w:szCs w:val="24"/>
        </w:rPr>
        <w:t>第四章  奖学金发放、管理与监督</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第十一条</w:t>
      </w:r>
      <w:r>
        <w:rPr>
          <w:rFonts w:hint="eastAsia" w:ascii="宋体" w:hAnsi="宋体" w:cs="宋体"/>
          <w:sz w:val="21"/>
          <w:szCs w:val="21"/>
        </w:rPr>
        <w:t xml:space="preserve">  学院学生资助管理中心为学院国家奖学金评选的职能部门，负责国家奖学金评选的组织实施。</w:t>
      </w:r>
      <w:r>
        <w:rPr>
          <w:rFonts w:hint="eastAsia" w:ascii="宋体" w:hAnsi="宋体" w:cs="宋体"/>
          <w:bCs/>
          <w:sz w:val="21"/>
          <w:szCs w:val="21"/>
        </w:rPr>
        <w:t>学院在接到省厅批复文件后将国家奖学金一次性发放给获奖学生，颁发国家统一印制的奖励证书，并记入学生学籍档案。</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 xml:space="preserve">第十二条 </w:t>
      </w:r>
      <w:r>
        <w:rPr>
          <w:rFonts w:hint="eastAsia" w:ascii="宋体" w:hAnsi="宋体" w:cs="宋体"/>
          <w:sz w:val="21"/>
          <w:szCs w:val="21"/>
        </w:rPr>
        <w:t xml:space="preserve"> 各二级学院要切实加强管理，坚持公平、公正、公开的原则，实事求是、严格标准、严格程序，</w:t>
      </w:r>
      <w:r>
        <w:rPr>
          <w:rFonts w:hint="eastAsia" w:ascii="宋体" w:hAnsi="宋体" w:cs="宋体"/>
          <w:bCs/>
          <w:sz w:val="21"/>
          <w:szCs w:val="21"/>
        </w:rPr>
        <w:t>认真做好国家奖学金的评审工作，确保国家奖学金用于奖励特别优秀的学生，</w:t>
      </w:r>
      <w:r>
        <w:rPr>
          <w:rFonts w:hint="eastAsia" w:ascii="宋体" w:hAnsi="宋体" w:cs="宋体"/>
          <w:sz w:val="21"/>
          <w:szCs w:val="21"/>
        </w:rPr>
        <w:t>坚决防止不正之风和杜绝弄虚作假的行为。</w:t>
      </w:r>
    </w:p>
    <w:p>
      <w:pPr>
        <w:adjustRightInd w:val="0"/>
        <w:snapToGrid w:val="0"/>
        <w:spacing w:line="400" w:lineRule="exact"/>
        <w:ind w:firstLine="422"/>
        <w:jc w:val="both"/>
        <w:rPr>
          <w:rFonts w:hint="eastAsia" w:ascii="宋体" w:hAnsi="宋体" w:cs="宋体"/>
          <w:sz w:val="21"/>
          <w:szCs w:val="21"/>
        </w:rPr>
      </w:pPr>
      <w:r>
        <w:rPr>
          <w:rFonts w:hint="eastAsia" w:ascii="宋体" w:hAnsi="宋体" w:cs="宋体"/>
          <w:b/>
          <w:sz w:val="21"/>
          <w:szCs w:val="21"/>
        </w:rPr>
        <w:t xml:space="preserve">第十三条 </w:t>
      </w:r>
      <w:r>
        <w:rPr>
          <w:rFonts w:hint="eastAsia" w:ascii="宋体" w:hAnsi="宋体" w:cs="宋体"/>
          <w:sz w:val="21"/>
          <w:szCs w:val="21"/>
        </w:rPr>
        <w:t xml:space="preserve"> 凡属弄虚作假或采取不正当手段获得国家奖学金者，一经发现即追缴所获得的国家奖学金，并追究有关人员责任。</w:t>
      </w:r>
    </w:p>
    <w:p>
      <w:pPr>
        <w:snapToGrid w:val="0"/>
        <w:spacing w:line="400" w:lineRule="exact"/>
        <w:ind w:firstLine="441" w:firstLineChars="209"/>
        <w:rPr>
          <w:rFonts w:hint="eastAsia" w:ascii="宋体" w:hAnsi="宋体" w:cs="宋体"/>
          <w:sz w:val="21"/>
          <w:szCs w:val="21"/>
        </w:rPr>
      </w:pPr>
      <w:r>
        <w:rPr>
          <w:rFonts w:hint="eastAsia" w:ascii="宋体" w:hAnsi="宋体" w:cs="宋体"/>
          <w:b/>
          <w:bCs/>
          <w:sz w:val="21"/>
          <w:szCs w:val="21"/>
        </w:rPr>
        <w:t>第十四条</w:t>
      </w:r>
      <w:r>
        <w:rPr>
          <w:rFonts w:hint="eastAsia" w:ascii="宋体" w:hAnsi="宋体" w:cs="宋体"/>
          <w:sz w:val="21"/>
          <w:szCs w:val="21"/>
        </w:rPr>
        <w:t xml:space="preserve">  国家奖学金量化考核细则参见附件1《铜仁职业技术学院国家奖学金量化考核细则》</w:t>
      </w:r>
    </w:p>
    <w:p>
      <w:pPr>
        <w:adjustRightInd w:val="0"/>
        <w:snapToGrid w:val="0"/>
        <w:spacing w:line="400" w:lineRule="exact"/>
        <w:ind w:firstLine="422"/>
        <w:rPr>
          <w:rFonts w:hint="eastAsia" w:ascii="宋体" w:hAnsi="宋体" w:cs="宋体"/>
          <w:sz w:val="21"/>
          <w:szCs w:val="21"/>
        </w:rPr>
      </w:pPr>
      <w:r>
        <w:rPr>
          <w:rFonts w:hint="eastAsia" w:ascii="宋体" w:hAnsi="宋体" w:cs="宋体"/>
          <w:b/>
          <w:bCs/>
          <w:sz w:val="21"/>
          <w:szCs w:val="21"/>
        </w:rPr>
        <w:t xml:space="preserve">第十五条  </w:t>
      </w:r>
      <w:r>
        <w:rPr>
          <w:rFonts w:hint="eastAsia" w:ascii="宋体" w:hAnsi="宋体" w:cs="宋体"/>
          <w:sz w:val="21"/>
          <w:szCs w:val="21"/>
        </w:rPr>
        <w:t>学生工作部学生资助管理中心负责本办法的解释。</w:t>
      </w:r>
    </w:p>
    <w:p>
      <w:pPr>
        <w:snapToGrid w:val="0"/>
        <w:spacing w:line="400" w:lineRule="exact"/>
        <w:ind w:firstLineChars="10"/>
        <w:rPr>
          <w:rFonts w:hint="eastAsia" w:ascii="宋体" w:hAnsi="宋体" w:cs="宋体"/>
          <w:sz w:val="21"/>
          <w:szCs w:val="21"/>
        </w:rPr>
      </w:pPr>
      <w:r>
        <w:rPr>
          <w:rFonts w:hint="eastAsia" w:ascii="宋体" w:hAnsi="宋体" w:cs="宋体"/>
          <w:sz w:val="21"/>
          <w:szCs w:val="21"/>
        </w:rPr>
        <w:t xml:space="preserve">    </w:t>
      </w:r>
    </w:p>
    <w:p>
      <w:pPr>
        <w:pStyle w:val="2"/>
        <w:ind w:firstLine="723" w:firstLineChars="300"/>
        <w:jc w:val="left"/>
        <w:rPr>
          <w:sz w:val="24"/>
          <w:szCs w:val="21"/>
        </w:rPr>
      </w:pPr>
      <w:r>
        <w:rPr>
          <w:rFonts w:hint="eastAsia"/>
          <w:sz w:val="24"/>
          <w:szCs w:val="21"/>
        </w:rPr>
        <w:t>附件1      《铜仁职业技术学院国家奖学金量化考核细则》</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国家奖学金的评选以学习成绩、技能特长、社会活动、综合素质四个方面作为主要考核内容。各部分均量化为具体分值，四部分的单项分值之和为最后总分值，以最后的总分值作为评选国家奖学金的依据。</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各部分计算分值如下：</w:t>
      </w:r>
    </w:p>
    <w:p>
      <w:pPr>
        <w:adjustRightInd w:val="0"/>
        <w:snapToGrid w:val="0"/>
        <w:spacing w:line="400" w:lineRule="exact"/>
        <w:ind w:firstLine="422"/>
        <w:rPr>
          <w:rFonts w:ascii="宋体" w:hAnsi="宋体" w:cs="宋体"/>
          <w:b/>
          <w:bCs/>
          <w:sz w:val="21"/>
          <w:szCs w:val="21"/>
        </w:rPr>
      </w:pPr>
      <w:r>
        <w:rPr>
          <w:rFonts w:hint="eastAsia" w:ascii="宋体" w:hAnsi="宋体" w:cs="宋体"/>
          <w:b/>
          <w:bCs/>
          <w:sz w:val="21"/>
          <w:szCs w:val="21"/>
        </w:rPr>
        <w:t>1．学习成绩：占70%</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学习成绩以上学年学习平均成绩的70%计算，参评者上学年学习中没有出现补考科目、学年所学科目成绩平均分原则上应达85分以上。</w:t>
      </w:r>
    </w:p>
    <w:p>
      <w:pPr>
        <w:adjustRightInd w:val="0"/>
        <w:snapToGrid w:val="0"/>
        <w:spacing w:line="400" w:lineRule="exact"/>
        <w:ind w:firstLine="422"/>
        <w:rPr>
          <w:rFonts w:ascii="宋体" w:hAnsi="宋体" w:cs="宋体"/>
          <w:b/>
          <w:bCs/>
          <w:sz w:val="21"/>
          <w:szCs w:val="21"/>
        </w:rPr>
      </w:pPr>
      <w:r>
        <w:rPr>
          <w:rFonts w:hint="eastAsia" w:ascii="宋体" w:hAnsi="宋体" w:cs="宋体"/>
          <w:b/>
          <w:bCs/>
          <w:sz w:val="21"/>
          <w:szCs w:val="21"/>
        </w:rPr>
        <w:t>2．技能特长成绩：占10%</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（1）参加各项技能竞赛获国家级、省级、地级、院级、二级学院级奖项按表1计分。同一项比赛，按取得的最高成绩计，不得重复计算。</w:t>
      </w:r>
    </w:p>
    <w:p>
      <w:pPr>
        <w:adjustRightInd w:val="0"/>
        <w:snapToGrid w:val="0"/>
        <w:spacing w:before="62" w:beforeLines="20" w:line="360" w:lineRule="exact"/>
        <w:ind w:firstLine="420"/>
        <w:jc w:val="center"/>
        <w:rPr>
          <w:rFonts w:ascii="宋体" w:hAnsi="宋体" w:cs="宋体"/>
          <w:bCs/>
          <w:sz w:val="21"/>
          <w:szCs w:val="21"/>
        </w:rPr>
      </w:pPr>
      <w:r>
        <w:rPr>
          <w:rFonts w:hint="eastAsia" w:ascii="宋体" w:hAnsi="宋体" w:cs="宋体"/>
          <w:bCs/>
          <w:sz w:val="21"/>
          <w:szCs w:val="21"/>
        </w:rPr>
        <w:t>表1   技能竞赛获奖计分标准</w:t>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44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snapToGrid w:val="0"/>
              <w:spacing w:line="360" w:lineRule="exact"/>
              <w:ind w:firstLine="420"/>
              <w:rPr>
                <w:rFonts w:ascii="宋体" w:hAnsi="宋体" w:cs="宋体"/>
                <w:sz w:val="21"/>
                <w:szCs w:val="21"/>
              </w:rPr>
            </w:pPr>
            <w:r>
              <w:rPr>
                <w:rFonts w:hint="eastAsia" w:ascii="宋体" w:hAnsi="宋体" w:cs="宋体"/>
                <w:sz w:val="21"/>
                <w:szCs w:val="21"/>
              </w:rPr>
              <w:t xml:space="preserve">               等次</w:t>
            </w:r>
          </w:p>
          <w:p>
            <w:pPr>
              <w:adjustRightInd w:val="0"/>
              <w:snapToGrid w:val="0"/>
              <w:spacing w:line="360" w:lineRule="exact"/>
              <w:ind w:firstLine="18" w:firstLineChars="9"/>
              <w:rPr>
                <w:rFonts w:ascii="宋体" w:hAnsi="宋体" w:cs="宋体"/>
                <w:sz w:val="21"/>
                <w:szCs w:val="21"/>
              </w:rPr>
            </w:pPr>
            <w:r>
              <w:rPr>
                <w:rFonts w:hint="eastAsia" w:ascii="宋体" w:hAnsi="宋体" w:cs="宋体"/>
                <w:sz w:val="21"/>
                <w:szCs w:val="21"/>
              </w:rPr>
              <w:t>获奖级别</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一等奖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二等奖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三等奖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国家级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省  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地  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院  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 xml:space="preserve">二级学院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ind w:firstLine="0" w:firstLineChars="0"/>
              <w:jc w:val="center"/>
              <w:rPr>
                <w:rFonts w:ascii="宋体" w:hAnsi="宋体" w:cs="宋体"/>
                <w:sz w:val="21"/>
                <w:szCs w:val="21"/>
              </w:rPr>
            </w:pPr>
            <w:r>
              <w:rPr>
                <w:rFonts w:hint="eastAsia" w:ascii="宋体" w:hAnsi="宋体" w:cs="宋体"/>
                <w:sz w:val="21"/>
                <w:szCs w:val="21"/>
              </w:rPr>
              <w:t>0.1</w:t>
            </w:r>
          </w:p>
        </w:tc>
      </w:tr>
    </w:tbl>
    <w:p>
      <w:pPr>
        <w:adjustRightInd w:val="0"/>
        <w:snapToGrid w:val="0"/>
        <w:spacing w:before="62" w:beforeLines="20" w:line="400" w:lineRule="exact"/>
        <w:ind w:firstLine="420"/>
        <w:rPr>
          <w:rFonts w:ascii="宋体" w:hAnsi="宋体" w:cs="宋体"/>
          <w:sz w:val="21"/>
          <w:szCs w:val="21"/>
        </w:rPr>
      </w:pPr>
      <w:r>
        <w:rPr>
          <w:rFonts w:hint="eastAsia" w:ascii="宋体" w:hAnsi="宋体" w:cs="宋体"/>
          <w:sz w:val="21"/>
          <w:szCs w:val="21"/>
        </w:rPr>
        <w:t>（2）积极参加各项技能培训，获得相关职业资格证书。其中获得计算机一级、计算机1+N 、普通话二乙每项计0.5分；计算机二级、普通话二甲、本专业初级资格证书每项计1分；本专业中级资格证书每项计2分；本专业高级资格证书每项计3分；大学英语4级证书计4分，大学英语6级计6分；同类证书，以最高分计，不得重复计算。</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（3）在国家级、省级、地级公开刊物上发表专业文章每次每篇计2分、1分、0.5分；在国家级、省级、地级公开刊物、学院报上发表通讯文章每次每篇计2分、1分、0.5分、0.1分；</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技能特长最高成绩以10分为限。</w:t>
      </w:r>
    </w:p>
    <w:p>
      <w:pPr>
        <w:adjustRightInd w:val="0"/>
        <w:snapToGrid w:val="0"/>
        <w:spacing w:line="400" w:lineRule="exact"/>
        <w:ind w:firstLine="422"/>
        <w:rPr>
          <w:rFonts w:ascii="宋体" w:hAnsi="宋体" w:cs="宋体"/>
          <w:b/>
          <w:bCs/>
          <w:sz w:val="21"/>
          <w:szCs w:val="21"/>
        </w:rPr>
      </w:pPr>
      <w:r>
        <w:rPr>
          <w:rFonts w:hint="eastAsia" w:ascii="宋体" w:hAnsi="宋体" w:cs="宋体"/>
          <w:b/>
          <w:bCs/>
          <w:sz w:val="21"/>
          <w:szCs w:val="21"/>
        </w:rPr>
        <w:t>3．社会活动成绩：占10%</w:t>
      </w:r>
    </w:p>
    <w:p>
      <w:pPr>
        <w:adjustRightInd w:val="0"/>
        <w:snapToGrid w:val="0"/>
        <w:spacing w:line="400" w:lineRule="exact"/>
        <w:ind w:firstLine="420"/>
        <w:rPr>
          <w:rFonts w:ascii="宋体" w:hAnsi="宋体" w:cs="宋体"/>
          <w:bCs/>
          <w:sz w:val="21"/>
          <w:szCs w:val="21"/>
        </w:rPr>
      </w:pPr>
      <w:r>
        <w:rPr>
          <w:rFonts w:hint="eastAsia" w:ascii="宋体" w:hAnsi="宋体" w:cs="宋体"/>
          <w:sz w:val="21"/>
          <w:szCs w:val="21"/>
        </w:rPr>
        <w:t>社会活动得分由担任社会职务计分与社会活动获奖的计分组成，社会活动主要以学生所担任的社团组织职务、所获奖励、及对集体、社会所作的贡献来进行评价，社会活动成绩根据获奖证书评价。</w:t>
      </w:r>
    </w:p>
    <w:p>
      <w:pPr>
        <w:adjustRightInd w:val="0"/>
        <w:snapToGrid w:val="0"/>
        <w:spacing w:before="62" w:beforeLines="20" w:line="360" w:lineRule="exact"/>
        <w:ind w:firstLine="420"/>
        <w:jc w:val="center"/>
        <w:rPr>
          <w:rFonts w:ascii="宋体" w:hAnsi="宋体" w:cs="宋体"/>
          <w:bCs/>
          <w:sz w:val="21"/>
          <w:szCs w:val="21"/>
        </w:rPr>
      </w:pPr>
      <w:r>
        <w:rPr>
          <w:rFonts w:hint="eastAsia" w:ascii="宋体" w:hAnsi="宋体" w:cs="宋体"/>
          <w:bCs/>
          <w:sz w:val="21"/>
          <w:szCs w:val="21"/>
        </w:rPr>
        <w:t>表2  担任社会职务计分标准</w:t>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44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snapToGrid w:val="0"/>
              <w:spacing w:line="360" w:lineRule="exact"/>
              <w:ind w:firstLine="420"/>
              <w:rPr>
                <w:rFonts w:ascii="宋体" w:hAnsi="宋体" w:cs="宋体"/>
                <w:sz w:val="21"/>
                <w:szCs w:val="21"/>
              </w:rPr>
            </w:pPr>
            <w:r>
              <w:rPr>
                <w:rFonts w:hint="eastAsia" w:ascii="宋体" w:hAnsi="宋体" w:cs="宋体"/>
                <w:sz w:val="21"/>
                <w:szCs w:val="21"/>
              </w:rPr>
              <w:t xml:space="preserve">           等次评价</w:t>
            </w:r>
          </w:p>
          <w:p>
            <w:pPr>
              <w:adjustRightInd w:val="0"/>
              <w:snapToGrid w:val="0"/>
              <w:spacing w:line="360" w:lineRule="exact"/>
              <w:ind w:firstLine="18" w:firstLineChars="9"/>
              <w:rPr>
                <w:rFonts w:ascii="宋体" w:hAnsi="宋体" w:cs="宋体"/>
                <w:sz w:val="21"/>
                <w:szCs w:val="21"/>
              </w:rPr>
            </w:pPr>
            <w:r>
              <w:rPr>
                <w:rFonts w:hint="eastAsia" w:ascii="宋体" w:hAnsi="宋体" w:cs="宋体"/>
                <w:sz w:val="21"/>
                <w:szCs w:val="21"/>
              </w:rPr>
              <w:t>担任职务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优秀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良好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合格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院级及院级以上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 xml:space="preserve">二级学院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班 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ind w:firstLine="0" w:firstLineChars="0"/>
              <w:jc w:val="center"/>
              <w:rPr>
                <w:rFonts w:ascii="宋体" w:hAnsi="宋体" w:cs="宋体"/>
                <w:sz w:val="21"/>
                <w:szCs w:val="21"/>
              </w:rPr>
            </w:pPr>
            <w:r>
              <w:rPr>
                <w:rFonts w:hint="eastAsia" w:ascii="宋体" w:hAnsi="宋体" w:cs="宋体"/>
                <w:sz w:val="21"/>
                <w:szCs w:val="21"/>
              </w:rPr>
              <w:t>0</w:t>
            </w:r>
          </w:p>
        </w:tc>
      </w:tr>
    </w:tbl>
    <w:p>
      <w:pPr>
        <w:adjustRightInd w:val="0"/>
        <w:snapToGrid w:val="0"/>
        <w:spacing w:before="62" w:beforeLines="20" w:line="400" w:lineRule="exact"/>
        <w:ind w:firstLine="308" w:firstLineChars="147"/>
        <w:rPr>
          <w:rFonts w:ascii="宋体" w:hAnsi="宋体" w:cs="宋体"/>
          <w:bCs/>
          <w:sz w:val="21"/>
          <w:szCs w:val="21"/>
        </w:rPr>
      </w:pPr>
      <w:r>
        <w:rPr>
          <w:rFonts w:hint="eastAsia" w:ascii="宋体" w:hAnsi="宋体" w:cs="宋体"/>
          <w:bCs/>
          <w:sz w:val="21"/>
          <w:szCs w:val="21"/>
        </w:rPr>
        <w:t xml:space="preserve"> 担任院级</w:t>
      </w:r>
      <w:r>
        <w:rPr>
          <w:rFonts w:hint="eastAsia" w:ascii="宋体" w:hAnsi="宋体" w:cs="宋体"/>
          <w:sz w:val="21"/>
          <w:szCs w:val="21"/>
        </w:rPr>
        <w:t>及院级以上</w:t>
      </w:r>
      <w:r>
        <w:rPr>
          <w:rFonts w:hint="eastAsia" w:ascii="宋体" w:hAnsi="宋体" w:cs="宋体"/>
          <w:bCs/>
          <w:sz w:val="21"/>
          <w:szCs w:val="21"/>
        </w:rPr>
        <w:t>职务的计分由院级相关领导部门评价，担任</w:t>
      </w:r>
      <w:r>
        <w:rPr>
          <w:rFonts w:hint="eastAsia" w:ascii="宋体" w:hAnsi="宋体" w:cs="宋体"/>
          <w:sz w:val="21"/>
          <w:szCs w:val="21"/>
        </w:rPr>
        <w:t>二级学院级</w:t>
      </w:r>
      <w:r>
        <w:rPr>
          <w:rFonts w:hint="eastAsia" w:ascii="宋体" w:hAnsi="宋体" w:cs="宋体"/>
          <w:bCs/>
          <w:sz w:val="21"/>
          <w:szCs w:val="21"/>
        </w:rPr>
        <w:t>职务的计分由各二级学院二级学院领导评价，担任</w:t>
      </w:r>
      <w:r>
        <w:rPr>
          <w:rFonts w:hint="eastAsia" w:ascii="宋体" w:hAnsi="宋体" w:cs="宋体"/>
          <w:sz w:val="21"/>
          <w:szCs w:val="21"/>
        </w:rPr>
        <w:t>班级</w:t>
      </w:r>
      <w:r>
        <w:rPr>
          <w:rFonts w:hint="eastAsia" w:ascii="宋体" w:hAnsi="宋体" w:cs="宋体"/>
          <w:bCs/>
          <w:sz w:val="21"/>
          <w:szCs w:val="21"/>
        </w:rPr>
        <w:t>职务的计分由各辅导员评价。</w:t>
      </w:r>
    </w:p>
    <w:p>
      <w:pPr>
        <w:adjustRightInd w:val="0"/>
        <w:snapToGrid w:val="0"/>
        <w:spacing w:before="62" w:beforeLines="20" w:line="360" w:lineRule="exact"/>
        <w:ind w:firstLine="420"/>
        <w:jc w:val="center"/>
        <w:rPr>
          <w:rFonts w:ascii="宋体" w:hAnsi="宋体" w:cs="宋体"/>
          <w:bCs/>
          <w:sz w:val="21"/>
          <w:szCs w:val="21"/>
        </w:rPr>
      </w:pPr>
      <w:r>
        <w:rPr>
          <w:rFonts w:hint="eastAsia" w:ascii="宋体" w:hAnsi="宋体" w:cs="宋体"/>
          <w:bCs/>
          <w:sz w:val="21"/>
          <w:szCs w:val="21"/>
        </w:rPr>
        <w:t>表3  社会活动获奖的计分标准（单位：分/项）</w:t>
      </w:r>
    </w:p>
    <w:tbl>
      <w:tblPr>
        <w:tblStyle w:val="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44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adjustRightInd w:val="0"/>
              <w:snapToGrid w:val="0"/>
              <w:spacing w:line="360" w:lineRule="exact"/>
              <w:ind w:firstLine="420"/>
              <w:rPr>
                <w:rFonts w:ascii="宋体" w:hAnsi="宋体" w:cs="宋体"/>
                <w:sz w:val="21"/>
                <w:szCs w:val="21"/>
              </w:rPr>
            </w:pPr>
            <w:r>
              <w:rPr>
                <w:rFonts w:hint="eastAsia" w:ascii="宋体" w:hAnsi="宋体" w:cs="宋体"/>
                <w:sz w:val="21"/>
                <w:szCs w:val="21"/>
              </w:rPr>
              <w:t xml:space="preserve">               等次</w:t>
            </w:r>
          </w:p>
          <w:p>
            <w:pPr>
              <w:adjustRightInd w:val="0"/>
              <w:snapToGrid w:val="0"/>
              <w:spacing w:line="360" w:lineRule="exact"/>
              <w:ind w:firstLine="18" w:firstLineChars="9"/>
              <w:rPr>
                <w:rFonts w:ascii="宋体" w:hAnsi="宋体" w:cs="宋体"/>
                <w:sz w:val="21"/>
                <w:szCs w:val="21"/>
              </w:rPr>
            </w:pPr>
            <w:r>
              <w:rPr>
                <w:rFonts w:hint="eastAsia" w:ascii="宋体" w:hAnsi="宋体" w:cs="宋体"/>
                <w:sz w:val="21"/>
                <w:szCs w:val="21"/>
              </w:rPr>
              <w:t>获奖级别</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一等奖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二等奖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三等奖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国家级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省部级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地校级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 xml:space="preserve">二级学院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0" w:firstLineChars="0"/>
              <w:jc w:val="center"/>
              <w:rPr>
                <w:rFonts w:ascii="宋体" w:hAnsi="宋体" w:cs="宋体"/>
                <w:sz w:val="21"/>
                <w:szCs w:val="21"/>
              </w:rPr>
            </w:pPr>
            <w:r>
              <w:rPr>
                <w:rFonts w:hint="eastAsia" w:ascii="宋体" w:hAnsi="宋体" w:cs="宋体"/>
                <w:sz w:val="21"/>
                <w:szCs w:val="21"/>
              </w:rPr>
              <w:t>0</w:t>
            </w:r>
          </w:p>
        </w:tc>
      </w:tr>
    </w:tbl>
    <w:p>
      <w:pPr>
        <w:adjustRightInd w:val="0"/>
        <w:snapToGrid w:val="0"/>
        <w:spacing w:before="62" w:beforeLines="20" w:line="400" w:lineRule="exact"/>
        <w:ind w:firstLine="420"/>
        <w:rPr>
          <w:rFonts w:ascii="宋体" w:hAnsi="宋体" w:cs="宋体"/>
          <w:sz w:val="21"/>
          <w:szCs w:val="21"/>
        </w:rPr>
      </w:pPr>
      <w:r>
        <w:rPr>
          <w:rFonts w:hint="eastAsia" w:ascii="宋体" w:hAnsi="宋体" w:cs="宋体"/>
          <w:sz w:val="21"/>
          <w:szCs w:val="21"/>
        </w:rPr>
        <w:t>社会活动成绩最高分以10分为限。</w:t>
      </w:r>
    </w:p>
    <w:p>
      <w:pPr>
        <w:adjustRightInd w:val="0"/>
        <w:snapToGrid w:val="0"/>
        <w:spacing w:line="400" w:lineRule="exact"/>
        <w:ind w:firstLine="422"/>
        <w:rPr>
          <w:rFonts w:ascii="宋体" w:hAnsi="宋体" w:cs="宋体"/>
          <w:b/>
          <w:sz w:val="21"/>
          <w:szCs w:val="21"/>
        </w:rPr>
      </w:pPr>
      <w:r>
        <w:rPr>
          <w:rFonts w:hint="eastAsia" w:ascii="宋体" w:hAnsi="宋体" w:cs="宋体"/>
          <w:b/>
          <w:sz w:val="21"/>
          <w:szCs w:val="21"/>
        </w:rPr>
        <w:t>4、综合素质：占10%</w:t>
      </w:r>
    </w:p>
    <w:p>
      <w:pPr>
        <w:adjustRightInd w:val="0"/>
        <w:snapToGrid w:val="0"/>
        <w:spacing w:line="400" w:lineRule="exact"/>
        <w:ind w:firstLine="420"/>
        <w:rPr>
          <w:rFonts w:ascii="宋体" w:hAnsi="宋体" w:cs="宋体"/>
          <w:b/>
          <w:sz w:val="21"/>
          <w:szCs w:val="21"/>
        </w:rPr>
      </w:pPr>
      <w:r>
        <w:rPr>
          <w:rFonts w:hint="eastAsia" w:ascii="宋体" w:hAnsi="宋体" w:cs="宋体"/>
          <w:sz w:val="21"/>
          <w:szCs w:val="21"/>
        </w:rPr>
        <w:t>包括道德修养、为人处事、逻辑思维、开拓创新、语言表达、写作能力等方面的素质，由二级学院自行评定打分，综合素质成绩最高分以10分为限。</w:t>
      </w:r>
    </w:p>
    <w:p>
      <w:pPr>
        <w:adjustRightInd w:val="0"/>
        <w:snapToGrid w:val="0"/>
        <w:spacing w:line="360" w:lineRule="auto"/>
        <w:ind w:firstLine="0" w:firstLineChars="0"/>
        <w:jc w:val="both"/>
        <w:rPr>
          <w:rFonts w:ascii="宋体" w:hAnsi="宋体"/>
          <w:sz w:val="21"/>
          <w:szCs w:val="21"/>
        </w:rPr>
      </w:pPr>
      <w:r>
        <w:rPr>
          <w:rFonts w:hint="eastAsia" w:ascii="宋体" w:hAnsi="宋体"/>
          <w:sz w:val="21"/>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7BB0"/>
    <w:rsid w:val="26E87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1"/>
    <w:uiPriority w:val="0"/>
    <w:pPr>
      <w:spacing w:before="120" w:after="120" w:line="480" w:lineRule="auto"/>
      <w:ind w:firstLine="0" w:firstLineChars="0"/>
      <w:jc w:val="center"/>
    </w:pPr>
    <w:rPr>
      <w:rFonts w:ascii="方正小标宋简体" w:hAnsi="方正小标宋简体" w:eastAsia="宋体"/>
      <w:b/>
      <w:sz w:val="2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2018-11-22T07:31:00Z</dcterms:created>
  <dc:creator>烟巷陌</dc:creator>
  <cp:lastModifiedBy>烟巷陌</cp:lastModifiedBy>
  <dcterms:modified xsi:type="dcterms:W3CDTF">2018-11-22T07:32:53Z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