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p>
    <w:p>
      <w:pPr>
        <w:jc w:val="center"/>
        <w:rPr>
          <w:rFonts w:ascii="仿宋" w:hAnsi="仿宋" w:eastAsia="仿宋"/>
          <w:b/>
          <w:sz w:val="36"/>
          <w:szCs w:val="36"/>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autoSpaceDE w:val="0"/>
        <w:autoSpaceDN w:val="0"/>
        <w:adjustRightInd w:val="0"/>
        <w:spacing w:line="518" w:lineRule="exact"/>
        <w:jc w:val="center"/>
        <w:rPr>
          <w:rFonts w:ascii="Times New Roman" w:hAnsi="Times New Roman" w:eastAsia="黑体" w:cs="Times New Roman"/>
          <w:b/>
          <w:bCs/>
          <w:sz w:val="44"/>
          <w:szCs w:val="44"/>
        </w:rPr>
      </w:pPr>
      <w:r>
        <w:rPr>
          <w:rFonts w:hint="eastAsia" w:ascii="黑体" w:eastAsia="黑体" w:cs="黑体"/>
          <w:spacing w:val="15"/>
          <w:sz w:val="44"/>
          <w:szCs w:val="44"/>
        </w:rPr>
        <w:t>铜仁职业技术学院</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18"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40"/>
        <w:rPr>
          <w:rFonts w:ascii="Times New Roman" w:hAnsi="Times New Roman" w:eastAsia="黑体" w:cs="Times New Roman"/>
          <w:color w:val="000000"/>
          <w:sz w:val="32"/>
          <w:szCs w:val="32"/>
        </w:rPr>
      </w:pPr>
      <w:r>
        <w:rPr>
          <w:rFonts w:hint="eastAsia" w:ascii="黑体" w:hAnsi="Times New Roman" w:eastAsia="黑体" w:cs="黑体"/>
          <w:color w:val="000000"/>
          <w:sz w:val="32"/>
          <w:szCs w:val="32"/>
        </w:rPr>
        <w:t>一、铜仁职业技术学院单位概况</w:t>
      </w:r>
    </w:p>
    <w:p>
      <w:pPr>
        <w:autoSpaceDE w:val="0"/>
        <w:autoSpaceDN w:val="0"/>
        <w:adjustRightInd w:val="0"/>
        <w:spacing w:line="560" w:lineRule="exact"/>
        <w:ind w:firstLine="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（一）主要职能</w:t>
      </w:r>
    </w:p>
    <w:p>
      <w:pPr>
        <w:autoSpaceDE w:val="0"/>
        <w:autoSpaceDN w:val="0"/>
        <w:adjustRightInd w:val="0"/>
        <w:spacing w:line="56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铜仁职业技术学院是一所涵盖理、工、农、医、经济与管理等学科门类专业的综合性高职院校，开展全日制专科层次高等职业技术学历教育为主，同时实施继续教育、留学生教育，积极拓展与行业、企业及国内外办学机构的合作办学，统筹协调中等、高等职业教育发展，探索与高校合作开办本科层次职业教育新形式，培养全面发展的适应经济社会发展的高素质技术技能人才，服务地方经济社会发展。</w:t>
      </w:r>
    </w:p>
    <w:p>
      <w:pPr>
        <w:autoSpaceDE w:val="0"/>
        <w:autoSpaceDN w:val="0"/>
        <w:adjustRightInd w:val="0"/>
        <w:spacing w:line="56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（二）部门决算单位构成机构设置</w:t>
      </w:r>
    </w:p>
    <w:p>
      <w:pPr>
        <w:autoSpaceDE w:val="0"/>
        <w:autoSpaceDN w:val="0"/>
        <w:adjustRightInd w:val="0"/>
        <w:spacing w:line="560" w:lineRule="exact"/>
        <w:ind w:firstLine="64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、单位构成情况</w:t>
      </w:r>
    </w:p>
    <w:p>
      <w:pPr>
        <w:autoSpaceDE w:val="0"/>
        <w:autoSpaceDN w:val="0"/>
        <w:adjustRightInd w:val="0"/>
        <w:spacing w:line="560" w:lineRule="exact"/>
        <w:ind w:firstLine="640"/>
        <w:rPr>
          <w:rFonts w:eastAsia="仿宋_GB2312" w:cs="Times New Roman"/>
          <w:sz w:val="32"/>
          <w:szCs w:val="32"/>
        </w:rPr>
      </w:pPr>
      <w:r>
        <w:rPr>
          <w:rFonts w:hint="eastAsia" w:ascii="仿宋_GB2312" w:eastAsia="仿宋_GB2312" w:cs="仿宋_GB2312"/>
          <w:sz w:val="32"/>
          <w:szCs w:val="32"/>
        </w:rPr>
        <w:t>铜仁职业技术学院由</w:t>
      </w:r>
      <w:r>
        <w:rPr>
          <w:rFonts w:ascii="仿宋_GB2312" w:eastAsia="仿宋_GB2312" w:cs="仿宋_GB2312"/>
          <w:sz w:val="32"/>
          <w:szCs w:val="32"/>
        </w:rPr>
        <w:t>32</w:t>
      </w:r>
      <w:r>
        <w:rPr>
          <w:rFonts w:hint="eastAsia" w:ascii="仿宋_GB2312" w:eastAsia="仿宋_GB2312" w:cs="仿宋_GB2312"/>
          <w:sz w:val="32"/>
          <w:szCs w:val="32"/>
        </w:rPr>
        <w:t>个内设机构</w:t>
      </w:r>
      <w:bookmarkStart w:id="0" w:name="OLE_LINK13"/>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个直接事业单位</w:t>
      </w:r>
      <w:bookmarkEnd w:id="0"/>
      <w:r>
        <w:rPr>
          <w:rFonts w:hint="eastAsia" w:ascii="仿宋_GB2312" w:eastAsia="仿宋_GB2312" w:cs="仿宋_GB2312"/>
          <w:sz w:val="32"/>
          <w:szCs w:val="32"/>
        </w:rPr>
        <w:t>组成。</w:t>
      </w:r>
      <w:r>
        <w:rPr>
          <w:rFonts w:ascii="仿宋_GB2312" w:eastAsia="仿宋_GB2312" w:cs="仿宋_GB2312"/>
          <w:sz w:val="32"/>
          <w:szCs w:val="32"/>
        </w:rPr>
        <w:t>32</w:t>
      </w:r>
      <w:r>
        <w:rPr>
          <w:rFonts w:hint="eastAsia" w:ascii="仿宋_GB2312" w:eastAsia="仿宋_GB2312" w:cs="仿宋_GB2312"/>
          <w:sz w:val="32"/>
          <w:szCs w:val="32"/>
        </w:rPr>
        <w:t>个内设机构为：党委办公室、组织人事部、学生工作部（武装部）、宣传部、统战部、纪检监察室、团委、工会、学院办公室、教学工作部、科研部、保卫处、后勤部、督导室、计划财务部、招生就业部、对外合作部、</w:t>
      </w:r>
      <w:r>
        <w:fldChar w:fldCharType="begin"/>
      </w:r>
      <w:r>
        <w:instrText xml:space="preserve"> HYPERLINK "http://sw.trzy.cn/" \t "http://www.trzy.edu.cn/_blank" </w:instrText>
      </w:r>
      <w:r>
        <w:fldChar w:fldCharType="separate"/>
      </w:r>
      <w:r>
        <w:rPr>
          <w:rFonts w:hint="eastAsia" w:ascii="仿宋_GB2312" w:eastAsia="仿宋_GB2312" w:cs="仿宋_GB2312"/>
          <w:sz w:val="32"/>
          <w:szCs w:val="32"/>
        </w:rPr>
        <w:t>农学院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"http://yx.trzy.cn/" \t "http://www.trzy.edu.cn/_blank" </w:instrText>
      </w:r>
      <w:r>
        <w:fldChar w:fldCharType="separate"/>
      </w:r>
      <w:r>
        <w:rPr>
          <w:rFonts w:hint="eastAsia" w:ascii="仿宋_GB2312" w:eastAsia="仿宋_GB2312" w:cs="仿宋_GB2312"/>
          <w:sz w:val="32"/>
          <w:szCs w:val="32"/>
        </w:rPr>
        <w:t>药学院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"http://yixue.trzy.cn/" \t "http://www.trzy.edu.cn/_blank" </w:instrText>
      </w:r>
      <w:r>
        <w:fldChar w:fldCharType="separate"/>
      </w:r>
      <w:r>
        <w:rPr>
          <w:rFonts w:hint="eastAsia" w:ascii="仿宋_GB2312" w:eastAsia="仿宋_GB2312" w:cs="仿宋_GB2312"/>
          <w:sz w:val="32"/>
          <w:szCs w:val="32"/>
        </w:rPr>
        <w:t>医学院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、护理学院、</w:t>
      </w:r>
      <w:r>
        <w:fldChar w:fldCharType="begin"/>
      </w:r>
      <w:r>
        <w:instrText xml:space="preserve"> HYPERLINK "http://jg.trzy.cn/" \t "http://www.trzy.edu.cn/_blank" </w:instrText>
      </w:r>
      <w:r>
        <w:fldChar w:fldCharType="separate"/>
      </w:r>
      <w:r>
        <w:rPr>
          <w:rFonts w:hint="eastAsia" w:ascii="仿宋_GB2312" w:eastAsia="仿宋_GB2312" w:cs="仿宋_GB2312"/>
          <w:sz w:val="32"/>
          <w:szCs w:val="32"/>
        </w:rPr>
        <w:t>经济管理学院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"http://gcjs.trzy.cn/" \t "http://www.trzy.edu.cn/_blank" </w:instrText>
      </w:r>
      <w:r>
        <w:fldChar w:fldCharType="separate"/>
      </w:r>
      <w:r>
        <w:rPr>
          <w:rFonts w:hint="eastAsia" w:ascii="仿宋_GB2312" w:eastAsia="仿宋_GB2312" w:cs="仿宋_GB2312"/>
          <w:sz w:val="32"/>
          <w:szCs w:val="32"/>
        </w:rPr>
        <w:t>工学院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"http://jk.trzy.cn/" \t "http://www.trzy.edu.cn/_blank" </w:instrText>
      </w:r>
      <w:r>
        <w:fldChar w:fldCharType="separate"/>
      </w:r>
      <w:r>
        <w:rPr>
          <w:rFonts w:hint="eastAsia" w:ascii="仿宋_GB2312" w:eastAsia="仿宋_GB2312" w:cs="仿宋_GB2312"/>
          <w:sz w:val="32"/>
          <w:szCs w:val="32"/>
        </w:rPr>
        <w:t>信息工程学院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"http://rw.trzy.cn/" </w:instrText>
      </w:r>
      <w:r>
        <w:fldChar w:fldCharType="separate"/>
      </w:r>
      <w:r>
        <w:rPr>
          <w:rFonts w:hint="eastAsia" w:ascii="仿宋_GB2312" w:eastAsia="仿宋_GB2312" w:cs="仿宋_GB2312"/>
          <w:sz w:val="32"/>
          <w:szCs w:val="32"/>
        </w:rPr>
        <w:t>人文学院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r>
        <w:fldChar w:fldCharType="begin"/>
      </w:r>
      <w:r>
        <w:instrText xml:space="preserve"> HYPERLINK "http://rw.trzy.cn/" </w:instrText>
      </w:r>
      <w:r>
        <w:fldChar w:fldCharType="separate"/>
      </w:r>
      <w:r>
        <w:rPr>
          <w:rFonts w:hint="eastAsia" w:ascii="仿宋_GB2312" w:eastAsia="仿宋_GB2312" w:cs="仿宋_GB2312"/>
          <w:sz w:val="32"/>
          <w:szCs w:val="32"/>
        </w:rPr>
        <w:t>国际教育学院</w:t>
      </w:r>
      <w:r>
        <w:rPr>
          <w:rFonts w:hint="eastAsia" w:ascii="仿宋_GB2312" w:eastAsia="仿宋_GB2312" w:cs="仿宋_GB2312"/>
          <w:sz w:val="32"/>
          <w:szCs w:val="32"/>
        </w:rPr>
        <w:fldChar w:fldCharType="end"/>
      </w:r>
      <w:r>
        <w:rPr>
          <w:rFonts w:hint="eastAsia" w:ascii="仿宋_GB2312" w:eastAsia="仿宋_GB2312" w:cs="仿宋_GB2312"/>
          <w:sz w:val="32"/>
          <w:szCs w:val="32"/>
        </w:rPr>
        <w:t>、继续教育学院、马列部（政教部）、图书馆、实验实训中心、铜仁市技工学校、铜仁职业技术学院附属医院。</w:t>
      </w:r>
      <w:r>
        <w:rPr>
          <w:rFonts w:ascii="仿宋_GB2312" w:eastAsia="仿宋_GB2312" w:cs="仿宋_GB2312"/>
          <w:sz w:val="32"/>
          <w:szCs w:val="32"/>
        </w:rPr>
        <w:t>2</w:t>
      </w:r>
      <w:r>
        <w:rPr>
          <w:rFonts w:hint="eastAsia" w:ascii="仿宋_GB2312" w:eastAsia="仿宋_GB2312" w:cs="仿宋_GB2312"/>
          <w:sz w:val="32"/>
          <w:szCs w:val="32"/>
        </w:rPr>
        <w:t>个直接事业单位为：铜仁市中等职业学校、铜仁工业学校。从预算单位构成看，</w:t>
      </w:r>
      <w:bookmarkStart w:id="1" w:name="OLE_LINK14"/>
      <w:r>
        <w:rPr>
          <w:rFonts w:hint="eastAsia" w:ascii="仿宋_GB2312" w:eastAsia="仿宋_GB2312" w:cs="仿宋_GB2312"/>
          <w:sz w:val="32"/>
          <w:szCs w:val="32"/>
          <w:lang w:val="zh-CN"/>
        </w:rPr>
        <w:t>铜仁职业技术学院</w:t>
      </w:r>
      <w:bookmarkEnd w:id="1"/>
      <w:r>
        <w:rPr>
          <w:rFonts w:hint="eastAsia" w:ascii="仿宋_GB2312" w:eastAsia="仿宋_GB2312" w:cs="仿宋_GB2312"/>
          <w:sz w:val="32"/>
          <w:szCs w:val="32"/>
        </w:rPr>
        <w:t>部门决算包括：本级决算、所属铜仁市中等职业学校、所属铜仁工业学校决算。</w:t>
      </w:r>
    </w:p>
    <w:p>
      <w:pPr>
        <w:autoSpaceDE w:val="0"/>
        <w:autoSpaceDN w:val="0"/>
        <w:adjustRightInd w:val="0"/>
        <w:spacing w:line="560" w:lineRule="exact"/>
        <w:ind w:firstLine="64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、人员构成情况</w:t>
      </w:r>
      <w:r>
        <w:rPr>
          <w:rFonts w:ascii="仿宋_GB2312" w:eastAsia="仿宋_GB2312" w:cs="仿宋_GB2312"/>
          <w:sz w:val="32"/>
          <w:szCs w:val="32"/>
        </w:rPr>
        <w:t> </w:t>
      </w:r>
      <w:r>
        <w:rPr>
          <w:rFonts w:ascii="仿宋_GB2312" w:eastAsia="仿宋_GB2312" w:cs="仿宋_GB2312"/>
          <w:sz w:val="32"/>
          <w:szCs w:val="32"/>
        </w:rPr>
        <w:br w:type="textWrapping"/>
      </w:r>
      <w:r>
        <w:rPr>
          <w:rFonts w:hint="eastAsia" w:ascii="仿宋" w:hAnsi="仿宋" w:eastAsia="仿宋" w:cs="仿宋"/>
          <w:b/>
          <w:bCs/>
          <w:color w:val="FF0000"/>
          <w:sz w:val="32"/>
          <w:szCs w:val="32"/>
        </w:rPr>
        <w:t>　　</w:t>
      </w:r>
      <w:r>
        <w:rPr>
          <w:rFonts w:hint="eastAsia" w:ascii="仿宋_GB2312" w:eastAsia="仿宋_GB2312" w:cs="仿宋_GB2312"/>
          <w:sz w:val="32"/>
          <w:szCs w:val="32"/>
          <w:lang w:val="zh-CN"/>
        </w:rPr>
        <w:t>铜仁职业技术学院</w:t>
      </w:r>
      <w:r>
        <w:rPr>
          <w:rFonts w:hint="eastAsia" w:ascii="仿宋_GB2312" w:eastAsia="仿宋_GB2312" w:cs="仿宋_GB2312"/>
          <w:sz w:val="32"/>
          <w:szCs w:val="32"/>
        </w:rPr>
        <w:t>总编制人数</w:t>
      </w:r>
      <w:r>
        <w:rPr>
          <w:rFonts w:ascii="仿宋_GB2312" w:eastAsia="仿宋_GB2312" w:cs="仿宋_GB2312"/>
          <w:sz w:val="32"/>
          <w:szCs w:val="32"/>
        </w:rPr>
        <w:t>1560</w:t>
      </w:r>
      <w:r>
        <w:rPr>
          <w:rFonts w:hint="eastAsia" w:ascii="仿宋_GB2312" w:eastAsia="仿宋_GB2312" w:cs="仿宋_GB2312"/>
          <w:sz w:val="32"/>
          <w:szCs w:val="32"/>
        </w:rPr>
        <w:t>人，全部为事业编制。目前在职实有人数</w:t>
      </w:r>
      <w:r>
        <w:rPr>
          <w:rFonts w:ascii="仿宋_GB2312" w:eastAsia="仿宋_GB2312" w:cs="仿宋_GB2312"/>
          <w:sz w:val="32"/>
          <w:szCs w:val="32"/>
        </w:rPr>
        <w:t>829</w:t>
      </w:r>
      <w:r>
        <w:rPr>
          <w:rFonts w:hint="eastAsia" w:ascii="仿宋_GB2312" w:eastAsia="仿宋_GB2312" w:cs="仿宋_GB2312"/>
          <w:sz w:val="32"/>
          <w:szCs w:val="32"/>
        </w:rPr>
        <w:t>人，离休人数</w:t>
      </w:r>
      <w:r>
        <w:rPr>
          <w:rFonts w:ascii="仿宋_GB2312" w:eastAsia="仿宋_GB2312" w:cs="仿宋_GB2312"/>
          <w:sz w:val="32"/>
          <w:szCs w:val="32"/>
        </w:rPr>
        <w:t>6</w:t>
      </w:r>
      <w:r>
        <w:rPr>
          <w:rFonts w:hint="eastAsia" w:ascii="仿宋_GB2312" w:eastAsia="仿宋_GB2312" w:cs="仿宋_GB2312"/>
          <w:sz w:val="32"/>
          <w:szCs w:val="32"/>
        </w:rPr>
        <w:t>人，退休人数</w:t>
      </w:r>
      <w:r>
        <w:rPr>
          <w:rFonts w:ascii="仿宋_GB2312" w:eastAsia="仿宋_GB2312" w:cs="仿宋_GB2312"/>
          <w:sz w:val="32"/>
          <w:szCs w:val="32"/>
        </w:rPr>
        <w:t>236</w:t>
      </w:r>
      <w:r>
        <w:rPr>
          <w:rFonts w:hint="eastAsia" w:ascii="仿宋_GB2312" w:eastAsia="仿宋_GB2312" w:cs="仿宋_GB2312"/>
          <w:sz w:val="32"/>
          <w:szCs w:val="32"/>
        </w:rPr>
        <w:t>人。</w:t>
      </w:r>
    </w:p>
    <w:p>
      <w:pPr>
        <w:autoSpaceDE w:val="0"/>
        <w:autoSpaceDN w:val="0"/>
        <w:adjustRightInd w:val="0"/>
        <w:spacing w:line="560" w:lineRule="exact"/>
        <w:ind w:firstLine="640" w:firstLineChars="200"/>
        <w:rPr>
          <w:rFonts w:ascii="Times New Roman" w:hAnsi="Times New Roman" w:eastAsia="黑体" w:cs="Times New Roman"/>
          <w:color w:val="000000"/>
          <w:sz w:val="32"/>
          <w:szCs w:val="32"/>
        </w:rPr>
      </w:pPr>
      <w:r>
        <w:rPr>
          <w:rFonts w:hint="eastAsia" w:ascii="黑体" w:hAnsi="Times New Roman" w:eastAsia="黑体" w:cs="黑体"/>
          <w:color w:val="000000"/>
          <w:sz w:val="32"/>
          <w:szCs w:val="32"/>
        </w:rPr>
        <w:t>二、铜仁职业技术学院</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年度部门决算公开报表（见附表）</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hint="eastAsia" w:ascii="黑体" w:hAnsi="Times New Roman" w:eastAsia="黑体" w:cs="黑体"/>
          <w:sz w:val="32"/>
          <w:szCs w:val="32"/>
          <w:lang w:val="zh-CN"/>
        </w:rPr>
        <w:t>三、</w:t>
      </w:r>
      <w:r>
        <w:rPr>
          <w:rFonts w:hint="eastAsia" w:ascii="黑体" w:hAnsi="Times New Roman" w:eastAsia="黑体" w:cs="黑体"/>
          <w:color w:val="000000"/>
          <w:sz w:val="32"/>
          <w:szCs w:val="32"/>
        </w:rPr>
        <w:t>铜仁职业技术学院</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（一）</w:t>
      </w: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年度收入支出决算总体情况说明</w:t>
      </w:r>
      <w:r>
        <w:rPr>
          <w:rFonts w:ascii="Times New Roman" w:hAnsi="Times New Roman" w:eastAsia="仿宋_GB2312"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年度收支决算总计</w:t>
      </w:r>
      <w:r>
        <w:rPr>
          <w:rFonts w:ascii="仿宋_GB2312" w:hAnsi="Times New Roman" w:eastAsia="仿宋_GB2312" w:cs="仿宋_GB2312"/>
          <w:color w:val="000000"/>
          <w:sz w:val="32"/>
          <w:szCs w:val="32"/>
        </w:rPr>
        <w:t>27,580.75</w:t>
      </w:r>
      <w:r>
        <w:rPr>
          <w:rFonts w:hint="eastAsia" w:ascii="仿宋_GB2312" w:hAnsi="Times New Roman" w:eastAsia="仿宋_GB2312" w:cs="仿宋_GB2312"/>
          <w:color w:val="000000"/>
          <w:sz w:val="32"/>
          <w:szCs w:val="32"/>
        </w:rPr>
        <w:t>万元，与</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年相比，增加</w:t>
      </w:r>
      <w:r>
        <w:rPr>
          <w:rFonts w:ascii="仿宋_GB2312" w:hAnsi="Times New Roman" w:eastAsia="仿宋_GB2312" w:cs="仿宋_GB2312"/>
          <w:color w:val="000000"/>
          <w:sz w:val="32"/>
          <w:szCs w:val="32"/>
        </w:rPr>
        <w:t>7,003.48</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34.04%</w:t>
      </w:r>
      <w:r>
        <w:rPr>
          <w:rFonts w:hint="eastAsia" w:ascii="仿宋_GB2312" w:hAnsi="Times New Roman" w:eastAsia="仿宋_GB2312" w:cs="仿宋_GB2312"/>
          <w:color w:val="000000"/>
          <w:sz w:val="32"/>
          <w:szCs w:val="32"/>
        </w:rPr>
        <w:t>。主要原因是：</w:t>
      </w:r>
      <w:bookmarkStart w:id="2" w:name="OLE_LINK4"/>
      <w:r>
        <w:rPr>
          <w:rFonts w:hint="eastAsia" w:ascii="仿宋_GB2312" w:eastAsia="仿宋_GB2312" w:cs="仿宋_GB2312"/>
          <w:sz w:val="32"/>
          <w:szCs w:val="32"/>
        </w:rPr>
        <w:t>学生人数增加、国家对学生的补助增加、教职工的工资福利增加</w:t>
      </w:r>
      <w:bookmarkEnd w:id="2"/>
      <w:r>
        <w:rPr>
          <w:rFonts w:hint="eastAsia" w:ascii="仿宋_GB2312" w:eastAsia="仿宋_GB2312" w:cs="仿宋_GB2312"/>
          <w:sz w:val="32"/>
          <w:szCs w:val="32"/>
        </w:rPr>
        <w:t>以及办公经费支出和基础设施建设投入增加</w:t>
      </w:r>
      <w:r>
        <w:rPr>
          <w:rFonts w:hint="eastAsia" w:ascii="仿宋_GB2312" w:hAnsi="Times New Roman" w:eastAsia="仿宋_GB2312" w:cs="仿宋_GB2312"/>
          <w:color w:val="000000"/>
          <w:sz w:val="32"/>
          <w:szCs w:val="32"/>
        </w:rPr>
        <w:t>。</w:t>
      </w:r>
    </w:p>
    <w:p>
      <w:pPr>
        <w:autoSpaceDE w:val="0"/>
        <w:autoSpaceDN w:val="0"/>
        <w:adjustRightInd w:val="0"/>
        <w:spacing w:line="560" w:lineRule="exact"/>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　　（二）</w:t>
      </w: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年度收入决算情况说明</w:t>
      </w:r>
    </w:p>
    <w:p>
      <w:pPr>
        <w:autoSpaceDE w:val="0"/>
        <w:autoSpaceDN w:val="0"/>
        <w:adjustRightInd w:val="0"/>
        <w:spacing w:line="560" w:lineRule="exact"/>
        <w:ind w:firstLine="64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本年收入合计</w:t>
      </w:r>
      <w:r>
        <w:rPr>
          <w:rFonts w:ascii="仿宋_GB2312" w:hAnsi="Times New Roman" w:eastAsia="仿宋_GB2312" w:cs="仿宋_GB2312"/>
          <w:color w:val="000000"/>
          <w:sz w:val="32"/>
          <w:szCs w:val="32"/>
        </w:rPr>
        <w:t>25,535.62</w:t>
      </w:r>
      <w:r>
        <w:rPr>
          <w:rFonts w:hint="eastAsia" w:ascii="仿宋_GB2312" w:hAnsi="Times New Roman" w:eastAsia="仿宋_GB2312" w:cs="仿宋_GB2312"/>
          <w:color w:val="000000"/>
          <w:sz w:val="32"/>
          <w:szCs w:val="32"/>
        </w:rPr>
        <w:t>万元，其中：财政拨款收入</w:t>
      </w:r>
    </w:p>
    <w:p>
      <w:pPr>
        <w:autoSpaceDE w:val="0"/>
        <w:autoSpaceDN w:val="0"/>
        <w:adjustRightInd w:val="0"/>
        <w:spacing w:line="560" w:lineRule="exact"/>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20,729.25</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81.18%</w:t>
      </w:r>
      <w:r>
        <w:rPr>
          <w:rFonts w:hint="eastAsia" w:ascii="仿宋_GB2312" w:hAnsi="Times New Roman" w:eastAsia="仿宋_GB2312" w:cs="仿宋_GB2312"/>
          <w:color w:val="000000"/>
          <w:sz w:val="32"/>
          <w:szCs w:val="32"/>
        </w:rPr>
        <w:t>；上级补助收入</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；事业收入</w:t>
      </w:r>
      <w:r>
        <w:rPr>
          <w:rFonts w:ascii="仿宋_GB2312" w:hAnsi="Times New Roman" w:eastAsia="仿宋_GB2312" w:cs="仿宋_GB2312"/>
          <w:color w:val="000000"/>
          <w:sz w:val="32"/>
          <w:szCs w:val="32"/>
        </w:rPr>
        <w:t>3,885.04</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15.21%</w:t>
      </w:r>
      <w:r>
        <w:rPr>
          <w:rFonts w:hint="eastAsia" w:ascii="仿宋_GB2312" w:hAnsi="Times New Roman" w:eastAsia="仿宋_GB2312" w:cs="仿宋_GB2312"/>
          <w:color w:val="000000"/>
          <w:sz w:val="32"/>
          <w:szCs w:val="32"/>
        </w:rPr>
        <w:t>；经营收入</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；附属单位缴款</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；其他收入</w:t>
      </w:r>
      <w:r>
        <w:rPr>
          <w:rFonts w:ascii="仿宋_GB2312" w:hAnsi="Times New Roman" w:eastAsia="仿宋_GB2312" w:cs="仿宋_GB2312"/>
          <w:color w:val="000000"/>
          <w:sz w:val="32"/>
          <w:szCs w:val="32"/>
        </w:rPr>
        <w:t>921.33</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3.61%</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（三）</w:t>
      </w: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年度支出决算情况说明</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本年支出合计</w:t>
      </w:r>
      <w:r>
        <w:rPr>
          <w:rFonts w:ascii="仿宋_GB2312" w:hAnsi="Times New Roman" w:eastAsia="仿宋_GB2312" w:cs="仿宋_GB2312"/>
          <w:color w:val="000000"/>
          <w:sz w:val="32"/>
          <w:szCs w:val="32"/>
        </w:rPr>
        <w:t>21,276.21</w:t>
      </w:r>
      <w:r>
        <w:rPr>
          <w:rFonts w:hint="eastAsia" w:ascii="仿宋_GB2312" w:hAnsi="Times New Roman" w:eastAsia="仿宋_GB2312" w:cs="仿宋_GB2312"/>
          <w:color w:val="000000"/>
          <w:sz w:val="32"/>
          <w:szCs w:val="32"/>
        </w:rPr>
        <w:t>万元，其中：基本支出</w:t>
      </w:r>
      <w:r>
        <w:rPr>
          <w:rFonts w:ascii="仿宋_GB2312" w:hAnsi="Times New Roman" w:eastAsia="仿宋_GB2312" w:cs="仿宋_GB2312"/>
          <w:color w:val="000000"/>
          <w:sz w:val="32"/>
          <w:szCs w:val="32"/>
        </w:rPr>
        <w:t>14,642.87</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68.82%</w:t>
      </w:r>
      <w:r>
        <w:rPr>
          <w:rFonts w:hint="eastAsia" w:ascii="仿宋_GB2312" w:hAnsi="Times New Roman" w:eastAsia="仿宋_GB2312" w:cs="仿宋_GB2312"/>
          <w:color w:val="000000"/>
          <w:sz w:val="32"/>
          <w:szCs w:val="32"/>
        </w:rPr>
        <w:t>；项目支出</w:t>
      </w:r>
      <w:r>
        <w:rPr>
          <w:rFonts w:ascii="仿宋_GB2312" w:hAnsi="Times New Roman" w:eastAsia="仿宋_GB2312" w:cs="仿宋_GB2312"/>
          <w:color w:val="000000"/>
          <w:sz w:val="32"/>
          <w:szCs w:val="32"/>
        </w:rPr>
        <w:t>6,633.34</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31.18%</w:t>
      </w:r>
      <w:r>
        <w:rPr>
          <w:rFonts w:hint="eastAsia" w:ascii="仿宋_GB2312" w:hAnsi="Times New Roman" w:eastAsia="仿宋_GB2312" w:cs="仿宋_GB2312"/>
          <w:color w:val="000000"/>
          <w:sz w:val="32"/>
          <w:szCs w:val="32"/>
        </w:rPr>
        <w:t>；上缴上级支出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；经营支出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；对附属单位补助支出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w:t>
      </w: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年度财政拨款收入支出决算总体情况说明</w:t>
      </w:r>
    </w:p>
    <w:p>
      <w:pPr>
        <w:autoSpaceDE w:val="0"/>
        <w:autoSpaceDN w:val="0"/>
        <w:adjustRightInd w:val="0"/>
        <w:spacing w:line="560" w:lineRule="exact"/>
        <w:ind w:firstLine="640"/>
        <w:rPr>
          <w:rFonts w:ascii="仿宋_GB2312" w:eastAsia="仿宋_GB2312" w:cs="仿宋_GB2312"/>
          <w:sz w:val="32"/>
          <w:szCs w:val="32"/>
        </w:rPr>
      </w:pP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年度财政拨款收支决算总计</w:t>
      </w:r>
      <w:r>
        <w:rPr>
          <w:rFonts w:ascii="仿宋_GB2312" w:hAnsi="Times New Roman" w:eastAsia="仿宋_GB2312" w:cs="仿宋_GB2312"/>
          <w:color w:val="000000"/>
          <w:sz w:val="32"/>
          <w:szCs w:val="32"/>
        </w:rPr>
        <w:t>22,494.67</w:t>
      </w:r>
      <w:r>
        <w:rPr>
          <w:rFonts w:hint="eastAsia" w:ascii="仿宋_GB2312" w:hAnsi="Times New Roman" w:eastAsia="仿宋_GB2312" w:cs="仿宋_GB2312"/>
          <w:color w:val="000000"/>
          <w:sz w:val="32"/>
          <w:szCs w:val="32"/>
        </w:rPr>
        <w:t>万元。与</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年相比，增加</w:t>
      </w:r>
      <w:r>
        <w:rPr>
          <w:rFonts w:ascii="仿宋_GB2312" w:hAnsi="Times New Roman" w:eastAsia="仿宋_GB2312" w:cs="仿宋_GB2312"/>
          <w:color w:val="000000"/>
          <w:sz w:val="32"/>
          <w:szCs w:val="32"/>
        </w:rPr>
        <w:t>5,945.85</w:t>
      </w:r>
      <w:r>
        <w:rPr>
          <w:rFonts w:hint="eastAsia" w:ascii="仿宋_GB2312" w:hAnsi="Times New Roman" w:eastAsia="仿宋_GB2312" w:cs="仿宋_GB2312"/>
          <w:color w:val="000000"/>
          <w:sz w:val="32"/>
          <w:szCs w:val="32"/>
        </w:rPr>
        <w:t>万元，增加</w:t>
      </w:r>
      <w:r>
        <w:rPr>
          <w:rFonts w:ascii="仿宋_GB2312" w:hAnsi="Times New Roman" w:eastAsia="仿宋_GB2312" w:cs="仿宋_GB2312"/>
          <w:color w:val="000000"/>
          <w:sz w:val="32"/>
          <w:szCs w:val="32"/>
        </w:rPr>
        <w:t>35.93%</w:t>
      </w:r>
      <w:r>
        <w:rPr>
          <w:rFonts w:hint="eastAsia" w:ascii="仿宋_GB2312" w:hAnsi="Times New Roman" w:eastAsia="仿宋_GB2312" w:cs="仿宋_GB2312"/>
          <w:color w:val="000000"/>
          <w:sz w:val="32"/>
          <w:szCs w:val="32"/>
        </w:rPr>
        <w:t>。主要原因是：</w:t>
      </w:r>
      <w:bookmarkStart w:id="3" w:name="OLE_LINK5"/>
      <w:r>
        <w:rPr>
          <w:rFonts w:hint="eastAsia" w:ascii="仿宋_GB2312" w:eastAsia="仿宋_GB2312" w:cs="仿宋_GB2312"/>
          <w:color w:val="000000"/>
          <w:sz w:val="32"/>
          <w:szCs w:val="32"/>
        </w:rPr>
        <w:t>国家对学生的补助增加和教职的工资和福利支出增加以及国家对基础设施建设投入增加</w:t>
      </w:r>
      <w:bookmarkEnd w:id="3"/>
      <w:r>
        <w:rPr>
          <w:rFonts w:hint="eastAsia" w:ascii="仿宋_GB2312" w:eastAsia="仿宋_GB2312" w:cs="仿宋_GB2312"/>
          <w:color w:val="000000"/>
          <w:sz w:val="32"/>
          <w:szCs w:val="32"/>
        </w:rPr>
        <w:t>。</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（五）</w:t>
      </w: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年度一般公共预算财政拨款支出决算情况说明</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、一般公共财政拨款支出决算总体情况</w:t>
      </w:r>
      <w:r>
        <w:rPr>
          <w:rFonts w:ascii="Times New Roman" w:hAnsi="Times New Roman" w:eastAsia="仿宋_GB2312" w:cs="Times New Roman"/>
          <w:color w:val="000000"/>
          <w:sz w:val="32"/>
          <w:szCs w:val="32"/>
        </w:rPr>
        <w:tab/>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年度一般公共预算财政拨款支出</w:t>
      </w:r>
      <w:r>
        <w:rPr>
          <w:rFonts w:ascii="仿宋_GB2312" w:hAnsi="Times New Roman" w:eastAsia="仿宋_GB2312" w:cs="仿宋_GB2312"/>
          <w:color w:val="000000"/>
          <w:sz w:val="32"/>
          <w:szCs w:val="32"/>
        </w:rPr>
        <w:t>16,319.94</w:t>
      </w:r>
      <w:r>
        <w:rPr>
          <w:rFonts w:hint="eastAsia" w:ascii="仿宋_GB2312" w:hAnsi="Times New Roman" w:eastAsia="仿宋_GB2312" w:cs="仿宋_GB2312"/>
          <w:color w:val="000000"/>
          <w:sz w:val="32"/>
          <w:szCs w:val="32"/>
        </w:rPr>
        <w:t>万元，占本年支出合计的</w:t>
      </w:r>
      <w:r>
        <w:rPr>
          <w:rFonts w:ascii="仿宋_GB2312" w:hAnsi="Times New Roman" w:eastAsia="仿宋_GB2312" w:cs="仿宋_GB2312"/>
          <w:color w:val="000000"/>
          <w:sz w:val="32"/>
          <w:szCs w:val="32"/>
        </w:rPr>
        <w:t>76.71%</w:t>
      </w:r>
      <w:r>
        <w:rPr>
          <w:rFonts w:hint="eastAsia" w:ascii="仿宋_GB2312" w:hAnsi="Times New Roman" w:eastAsia="仿宋_GB2312" w:cs="仿宋_GB2312"/>
          <w:color w:val="000000"/>
          <w:sz w:val="32"/>
          <w:szCs w:val="32"/>
        </w:rPr>
        <w:t>。与</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年相比，一般公共预算财政拨款支出增加</w:t>
      </w:r>
      <w:r>
        <w:rPr>
          <w:rFonts w:ascii="仿宋_GB2312" w:hAnsi="Times New Roman" w:eastAsia="仿宋_GB2312" w:cs="仿宋_GB2312"/>
          <w:color w:val="000000"/>
          <w:sz w:val="32"/>
          <w:szCs w:val="32"/>
        </w:rPr>
        <w:t>1,808.99</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12.47%</w:t>
      </w:r>
      <w:r>
        <w:rPr>
          <w:rFonts w:hint="eastAsia" w:ascii="仿宋_GB2312" w:hAnsi="Times New Roman" w:eastAsia="仿宋_GB2312" w:cs="仿宋_GB2312"/>
          <w:color w:val="000000"/>
          <w:sz w:val="32"/>
          <w:szCs w:val="32"/>
        </w:rPr>
        <w:t>。主要原因是：</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、我院招生人数大幅增加导致教职工人数增加；</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、项目资金增加幅度较大。</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、一般公共预算财政拨款支出决算结构情况</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年度一般公共预算财政拨款支出主要用于以下方面：</w:t>
      </w:r>
      <w:r>
        <w:rPr>
          <w:rFonts w:hint="eastAsia" w:ascii="仿宋_GB2312" w:eastAsia="仿宋_GB2312" w:cs="仿宋_GB2312"/>
          <w:color w:val="000000"/>
          <w:sz w:val="32"/>
          <w:szCs w:val="32"/>
        </w:rPr>
        <w:t>教育支出</w:t>
      </w:r>
      <w:r>
        <w:rPr>
          <w:rFonts w:ascii="仿宋_GB2312" w:eastAsia="仿宋_GB2312" w:cs="仿宋_GB2312"/>
          <w:color w:val="000000"/>
          <w:sz w:val="32"/>
          <w:szCs w:val="32"/>
        </w:rPr>
        <w:t>15,571.99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95.42%</w:t>
      </w:r>
      <w:r>
        <w:rPr>
          <w:rFonts w:hint="eastAsia" w:ascii="仿宋_GB2312" w:eastAsia="仿宋_GB2312" w:cs="仿宋_GB2312"/>
          <w:color w:val="000000"/>
          <w:sz w:val="32"/>
          <w:szCs w:val="32"/>
        </w:rPr>
        <w:t>；科学技术支出</w:t>
      </w:r>
      <w:r>
        <w:rPr>
          <w:rFonts w:ascii="仿宋_GB2312" w:eastAsia="仿宋_GB2312" w:cs="仿宋_GB2312"/>
          <w:color w:val="000000"/>
          <w:sz w:val="32"/>
          <w:szCs w:val="32"/>
        </w:rPr>
        <w:t>53.61</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0.33%</w:t>
      </w:r>
      <w:r>
        <w:rPr>
          <w:rFonts w:hint="eastAsia" w:ascii="仿宋_GB2312" w:eastAsia="仿宋_GB2312" w:cs="仿宋_GB2312"/>
          <w:color w:val="000000"/>
          <w:sz w:val="32"/>
          <w:szCs w:val="32"/>
        </w:rPr>
        <w:t>；住房保障支出</w:t>
      </w:r>
      <w:r>
        <w:rPr>
          <w:rFonts w:ascii="仿宋_GB2312" w:eastAsia="仿宋_GB2312" w:cs="仿宋_GB2312"/>
          <w:color w:val="000000"/>
          <w:sz w:val="32"/>
          <w:szCs w:val="32"/>
        </w:rPr>
        <w:t>690.68</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4.23%</w:t>
      </w:r>
      <w:r>
        <w:rPr>
          <w:rFonts w:hint="eastAsia" w:ascii="仿宋_GB2312" w:eastAsia="仿宋_GB2312" w:cs="仿宋_GB2312"/>
          <w:color w:val="000000"/>
          <w:sz w:val="32"/>
          <w:szCs w:val="32"/>
        </w:rPr>
        <w:t>。</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、一般公共预算财政拨款支出决算具体情况</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年度一般公共预算财政拨款支出年初预算为</w:t>
      </w:r>
      <w:r>
        <w:rPr>
          <w:rFonts w:ascii="仿宋_GB2312" w:hAnsi="Times New Roman" w:eastAsia="仿宋_GB2312" w:cs="仿宋_GB2312"/>
          <w:color w:val="000000"/>
          <w:sz w:val="32"/>
          <w:szCs w:val="32"/>
        </w:rPr>
        <w:t>9,397.40</w:t>
      </w:r>
      <w:r>
        <w:rPr>
          <w:rFonts w:hint="eastAsia" w:ascii="仿宋_GB2312" w:hAnsi="Times New Roman" w:eastAsia="仿宋_GB2312" w:cs="仿宋_GB2312"/>
          <w:color w:val="000000"/>
          <w:sz w:val="32"/>
          <w:szCs w:val="32"/>
        </w:rPr>
        <w:t>万元，支出决算为</w:t>
      </w:r>
      <w:r>
        <w:rPr>
          <w:rFonts w:ascii="仿宋_GB2312" w:hAnsi="Times New Roman" w:eastAsia="仿宋_GB2312" w:cs="仿宋_GB2312"/>
          <w:color w:val="000000"/>
          <w:sz w:val="32"/>
          <w:szCs w:val="32"/>
        </w:rPr>
        <w:t>16,319.94</w:t>
      </w:r>
      <w:r>
        <w:rPr>
          <w:rFonts w:hint="eastAsia" w:ascii="仿宋_GB2312" w:hAnsi="Times New Roman" w:eastAsia="仿宋_GB2312" w:cs="仿宋_GB2312"/>
          <w:color w:val="000000"/>
          <w:sz w:val="32"/>
          <w:szCs w:val="32"/>
        </w:rPr>
        <w:t>万元，增长73.66</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。主要原因是：专项经费拨款增加</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加之</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年年终绩效考核奖全部由市级财政解决</w:t>
      </w:r>
      <w:r>
        <w:rPr>
          <w:rFonts w:hint="eastAsia" w:ascii="仿宋_GB2312" w:hAnsi="Times New Roman" w:eastAsia="仿宋_GB2312" w:cs="仿宋_GB2312"/>
          <w:color w:val="000000"/>
          <w:sz w:val="32"/>
          <w:szCs w:val="32"/>
        </w:rPr>
        <w:t>。其中：</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hint="eastAsia" w:ascii="仿宋_GB2312" w:eastAsia="仿宋_GB2312" w:cs="仿宋_GB2312"/>
          <w:color w:val="000000"/>
          <w:sz w:val="32"/>
          <w:szCs w:val="32"/>
        </w:rPr>
        <w:t>（1）一般公共支出——民族事务——民族专项工作。年初预算为</w:t>
      </w:r>
      <w:r>
        <w:rPr>
          <w:rFonts w:hint="eastAsia" w:ascii="仿宋_GB2312" w:eastAsia="仿宋_GB2312" w:cs="仿宋_GB2312"/>
          <w:sz w:val="32"/>
          <w:szCs w:val="32"/>
        </w:rPr>
        <w:t>0</w:t>
      </w:r>
      <w:r>
        <w:rPr>
          <w:rFonts w:hint="eastAsia" w:ascii="仿宋_GB2312" w:eastAsia="仿宋_GB2312" w:cs="仿宋_GB2312"/>
          <w:color w:val="000000"/>
          <w:sz w:val="32"/>
          <w:szCs w:val="32"/>
        </w:rPr>
        <w:t>万元，支出决算为</w:t>
      </w:r>
      <w:r>
        <w:rPr>
          <w:rFonts w:ascii="仿宋_GB2312" w:eastAsia="仿宋_GB2312" w:cs="仿宋_GB2312"/>
          <w:color w:val="000000"/>
          <w:sz w:val="32"/>
          <w:szCs w:val="32"/>
        </w:rPr>
        <w:t>0.66</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（2）教育支出——普通教育。年初预算为0万元，支出决算为</w:t>
      </w:r>
      <w:r>
        <w:rPr>
          <w:rFonts w:ascii="仿宋_GB2312" w:eastAsia="仿宋_GB2312" w:cs="仿宋_GB2312"/>
          <w:color w:val="000000"/>
          <w:sz w:val="32"/>
          <w:szCs w:val="32"/>
        </w:rPr>
        <w:t>726.48</w:t>
      </w:r>
      <w:r>
        <w:rPr>
          <w:rFonts w:hint="eastAsia" w:ascii="仿宋_GB2312" w:eastAsia="仿宋_GB2312" w:cs="仿宋_GB2312"/>
          <w:color w:val="000000"/>
          <w:sz w:val="32"/>
          <w:szCs w:val="32"/>
        </w:rPr>
        <w:t>万元。具体情况如下：</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高等教育。年初预算为0万元，支出决算为</w:t>
      </w:r>
      <w:r>
        <w:rPr>
          <w:rFonts w:ascii="仿宋_GB2312" w:eastAsia="仿宋_GB2312" w:cs="仿宋_GB2312"/>
          <w:color w:val="000000"/>
          <w:sz w:val="32"/>
          <w:szCs w:val="32"/>
        </w:rPr>
        <w:t>716.08</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其他普通教育支出。年初预算为0万元，支出决算为</w:t>
      </w:r>
      <w:r>
        <w:rPr>
          <w:rFonts w:ascii="仿宋_GB2312" w:eastAsia="仿宋_GB2312" w:cs="仿宋_GB2312"/>
          <w:color w:val="000000"/>
          <w:sz w:val="32"/>
          <w:szCs w:val="32"/>
        </w:rPr>
        <w:t>10.40</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（3）教育支出——职业教育。年初预算为</w:t>
      </w:r>
      <w:r>
        <w:rPr>
          <w:rFonts w:ascii="仿宋_GB2312" w:eastAsia="仿宋_GB2312" w:cs="仿宋_GB2312"/>
          <w:color w:val="000000"/>
          <w:sz w:val="32"/>
          <w:szCs w:val="32"/>
        </w:rPr>
        <w:t>8,695.11</w:t>
      </w:r>
      <w:r>
        <w:rPr>
          <w:rFonts w:hint="eastAsia" w:ascii="仿宋_GB2312" w:eastAsia="仿宋_GB2312" w:cs="仿宋_GB2312"/>
          <w:color w:val="000000"/>
          <w:sz w:val="32"/>
          <w:szCs w:val="32"/>
        </w:rPr>
        <w:t>万元，支出决算为</w:t>
      </w:r>
      <w:r>
        <w:rPr>
          <w:rFonts w:ascii="仿宋_GB2312" w:eastAsia="仿宋_GB2312" w:cs="仿宋_GB2312"/>
          <w:color w:val="000000"/>
          <w:sz w:val="32"/>
          <w:szCs w:val="32"/>
        </w:rPr>
        <w:t>15,571.99</w:t>
      </w:r>
      <w:r>
        <w:rPr>
          <w:rFonts w:hint="eastAsia" w:ascii="仿宋_GB2312" w:eastAsia="仿宋_GB2312" w:cs="仿宋_GB2312"/>
          <w:color w:val="000000"/>
          <w:sz w:val="32"/>
          <w:szCs w:val="32"/>
        </w:rPr>
        <w:t>万元，</w:t>
      </w:r>
      <w:r>
        <w:rPr>
          <w:rFonts w:hint="eastAsia" w:ascii="仿宋_GB2312" w:hAnsi="Times New Roman" w:eastAsia="仿宋_GB2312" w:cs="仿宋_GB2312"/>
          <w:color w:val="000000"/>
          <w:sz w:val="32"/>
          <w:szCs w:val="32"/>
        </w:rPr>
        <w:t>增长</w:t>
      </w:r>
      <w:r>
        <w:rPr>
          <w:rFonts w:hint="eastAsia" w:ascii="仿宋_GB2312" w:eastAsia="仿宋_GB2312" w:cs="仿宋_GB2312"/>
          <w:color w:val="000000"/>
          <w:sz w:val="32"/>
          <w:szCs w:val="32"/>
        </w:rPr>
        <w:t>56.72</w:t>
      </w:r>
      <w:r>
        <w:rPr>
          <w:rFonts w:ascii="仿宋_GB2312" w:eastAsia="仿宋_GB2312" w:cs="仿宋_GB2312"/>
          <w:color w:val="000000"/>
          <w:sz w:val="32"/>
          <w:szCs w:val="32"/>
        </w:rPr>
        <w:t>%</w:t>
      </w:r>
      <w:r>
        <w:rPr>
          <w:rFonts w:hint="eastAsia" w:ascii="仿宋_GB2312" w:eastAsia="仿宋_GB2312" w:cs="仿宋_GB2312"/>
          <w:color w:val="000000"/>
          <w:sz w:val="32"/>
          <w:szCs w:val="32"/>
        </w:rPr>
        <w:t>。具体情况如下：</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中专教育。年初预算为0万元，支出决算为</w:t>
      </w:r>
      <w:r>
        <w:rPr>
          <w:rFonts w:ascii="仿宋_GB2312" w:eastAsia="仿宋_GB2312" w:cs="仿宋_GB2312"/>
          <w:color w:val="000000"/>
          <w:sz w:val="32"/>
          <w:szCs w:val="32"/>
        </w:rPr>
        <w:t>1,520.35</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eastAsia="仿宋_GB2312" w:cs="仿宋_GB2312"/>
          <w:color w:val="000000"/>
          <w:sz w:val="32"/>
          <w:szCs w:val="32"/>
        </w:rPr>
      </w:pPr>
      <w:bookmarkStart w:id="4" w:name="OLE_LINK11"/>
      <w:r>
        <w:rPr>
          <w:rFonts w:hint="eastAsia" w:ascii="仿宋_GB2312" w:eastAsia="仿宋_GB2312" w:cs="仿宋_GB2312"/>
          <w:color w:val="000000"/>
          <w:sz w:val="32"/>
          <w:szCs w:val="32"/>
        </w:rPr>
        <w:t>技校教育</w:t>
      </w:r>
      <w:bookmarkEnd w:id="4"/>
      <w:r>
        <w:rPr>
          <w:rFonts w:hint="eastAsia" w:ascii="仿宋_GB2312" w:eastAsia="仿宋_GB2312" w:cs="仿宋_GB2312"/>
          <w:color w:val="000000"/>
          <w:sz w:val="32"/>
          <w:szCs w:val="32"/>
        </w:rPr>
        <w:t>。年初预算为0万元，支出决算为</w:t>
      </w:r>
      <w:r>
        <w:rPr>
          <w:rFonts w:ascii="仿宋_GB2312" w:eastAsia="仿宋_GB2312" w:cs="仿宋_GB2312"/>
          <w:color w:val="000000"/>
          <w:sz w:val="32"/>
          <w:szCs w:val="32"/>
        </w:rPr>
        <w:t>347.36</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高等职业教育。年初预算为</w:t>
      </w:r>
      <w:r>
        <w:rPr>
          <w:rFonts w:ascii="仿宋_GB2312" w:eastAsia="仿宋_GB2312" w:cs="仿宋_GB2312"/>
          <w:color w:val="000000"/>
          <w:sz w:val="32"/>
          <w:szCs w:val="32"/>
        </w:rPr>
        <w:t>8,695.11</w:t>
      </w:r>
      <w:r>
        <w:rPr>
          <w:rFonts w:hint="eastAsia" w:ascii="仿宋_GB2312" w:eastAsia="仿宋_GB2312" w:cs="仿宋_GB2312"/>
          <w:color w:val="000000"/>
          <w:sz w:val="32"/>
          <w:szCs w:val="32"/>
        </w:rPr>
        <w:t>万元，支出决算为</w:t>
      </w:r>
      <w:r>
        <w:rPr>
          <w:rFonts w:ascii="仿宋_GB2312" w:eastAsia="仿宋_GB2312" w:cs="仿宋_GB2312"/>
          <w:color w:val="000000"/>
          <w:sz w:val="32"/>
          <w:szCs w:val="32"/>
        </w:rPr>
        <w:t>11,759.57</w:t>
      </w:r>
      <w:r>
        <w:rPr>
          <w:rFonts w:hint="eastAsia" w:ascii="仿宋_GB2312" w:eastAsia="仿宋_GB2312" w:cs="仿宋_GB2312"/>
          <w:color w:val="000000"/>
          <w:sz w:val="32"/>
          <w:szCs w:val="32"/>
        </w:rPr>
        <w:t>万元，</w:t>
      </w:r>
      <w:r>
        <w:rPr>
          <w:rFonts w:hint="eastAsia" w:ascii="仿宋_GB2312" w:hAnsi="Times New Roman" w:eastAsia="仿宋_GB2312" w:cs="仿宋_GB2312"/>
          <w:color w:val="000000"/>
          <w:sz w:val="32"/>
          <w:szCs w:val="32"/>
        </w:rPr>
        <w:t>增长</w:t>
      </w:r>
      <w:r>
        <w:rPr>
          <w:rFonts w:hint="eastAsia" w:ascii="仿宋_GB2312" w:eastAsia="仿宋_GB2312" w:cs="仿宋_GB2312"/>
          <w:color w:val="000000"/>
          <w:sz w:val="32"/>
          <w:szCs w:val="32"/>
        </w:rPr>
        <w:t>35</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（4）教育支出——教育费附加安排的支出——其他教育费附加安排的支出。年初预算为0万元，支出决算为</w:t>
      </w:r>
      <w:r>
        <w:rPr>
          <w:rFonts w:ascii="仿宋_GB2312" w:eastAsia="仿宋_GB2312" w:cs="仿宋_GB2312"/>
          <w:color w:val="000000"/>
          <w:sz w:val="32"/>
          <w:szCs w:val="32"/>
        </w:rPr>
        <w:t>283.73</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（5）教育支出——其他教育支出——其他教育支出。年初预算为0万元，支出决算为</w:t>
      </w:r>
      <w:r>
        <w:rPr>
          <w:rFonts w:ascii="仿宋_GB2312" w:eastAsia="仿宋_GB2312" w:cs="仿宋_GB2312"/>
          <w:color w:val="000000"/>
          <w:sz w:val="32"/>
          <w:szCs w:val="32"/>
        </w:rPr>
        <w:t>934.50</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（6）科学技术支出——应用研究——社会公益研究。年初预算为0万元，支出决算为</w:t>
      </w:r>
      <w:r>
        <w:rPr>
          <w:rFonts w:ascii="仿宋_GB2312" w:eastAsia="仿宋_GB2312" w:cs="仿宋_GB2312"/>
          <w:color w:val="000000"/>
          <w:sz w:val="32"/>
          <w:szCs w:val="32"/>
        </w:rPr>
        <w:t>53.61</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（7）农林水支出——扶贫——其他扶贫。年初预算为0万元，支出决算为</w:t>
      </w:r>
      <w:r>
        <w:rPr>
          <w:rFonts w:ascii="仿宋_GB2312" w:eastAsia="仿宋_GB2312" w:cs="仿宋_GB2312"/>
          <w:color w:val="000000"/>
          <w:sz w:val="32"/>
          <w:szCs w:val="32"/>
        </w:rPr>
        <w:t>3.00</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hint="eastAsia" w:ascii="仿宋_GB2312" w:eastAsia="仿宋_GB2312" w:cs="仿宋_GB2312"/>
          <w:color w:val="000000"/>
          <w:sz w:val="32"/>
          <w:szCs w:val="32"/>
        </w:rPr>
        <w:t>（8）住房保障支出——住房改革支——住房公积金。</w:t>
      </w:r>
      <w:r>
        <w:rPr>
          <w:rFonts w:hint="eastAsia" w:ascii="仿宋_GB2312" w:hAnsi="Times New Roman" w:eastAsia="仿宋_GB2312" w:cs="仿宋_GB2312"/>
          <w:color w:val="000000"/>
          <w:sz w:val="32"/>
          <w:szCs w:val="32"/>
        </w:rPr>
        <w:t>年初预算为</w:t>
      </w:r>
      <w:r>
        <w:rPr>
          <w:rFonts w:ascii="仿宋_GB2312" w:hAnsi="Times New Roman" w:eastAsia="仿宋_GB2312" w:cs="仿宋_GB2312"/>
          <w:color w:val="000000"/>
          <w:sz w:val="32"/>
          <w:szCs w:val="32"/>
        </w:rPr>
        <w:t>702.29</w:t>
      </w:r>
      <w:r>
        <w:rPr>
          <w:rFonts w:hint="eastAsia" w:ascii="仿宋_GB2312" w:hAnsi="Times New Roman" w:eastAsia="仿宋_GB2312" w:cs="仿宋_GB2312"/>
          <w:color w:val="000000"/>
          <w:sz w:val="32"/>
          <w:szCs w:val="32"/>
        </w:rPr>
        <w:t>万元，支出决算为</w:t>
      </w:r>
      <w:r>
        <w:rPr>
          <w:rFonts w:ascii="仿宋_GB2312" w:hAnsi="Times New Roman" w:eastAsia="仿宋_GB2312" w:cs="仿宋_GB2312"/>
          <w:color w:val="000000"/>
          <w:sz w:val="32"/>
          <w:szCs w:val="32"/>
        </w:rPr>
        <w:t>690.68</w:t>
      </w:r>
      <w:r>
        <w:rPr>
          <w:rFonts w:hint="eastAsia" w:ascii="仿宋_GB2312" w:hAnsi="Times New Roman" w:eastAsia="仿宋_GB2312" w:cs="仿宋_GB2312"/>
          <w:color w:val="000000"/>
          <w:sz w:val="32"/>
          <w:szCs w:val="32"/>
        </w:rPr>
        <w:t>万元，减少</w:t>
      </w:r>
      <w:r>
        <w:rPr>
          <w:rFonts w:ascii="仿宋_GB2312" w:hAnsi="Times New Roman" w:eastAsia="仿宋_GB2312" w:cs="仿宋_GB2312"/>
          <w:color w:val="000000"/>
          <w:sz w:val="32"/>
          <w:szCs w:val="32"/>
        </w:rPr>
        <w:t>1.7%</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（六）</w:t>
      </w: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年度一般公共预算财政拨款基本支出决算情况说明</w:t>
      </w:r>
    </w:p>
    <w:p>
      <w:pPr>
        <w:autoSpaceDE w:val="0"/>
        <w:autoSpaceDN w:val="0"/>
        <w:adjustRightInd w:val="0"/>
        <w:spacing w:line="560" w:lineRule="exact"/>
        <w:ind w:firstLine="640"/>
        <w:rPr>
          <w:rFonts w:ascii="仿宋_GB2312" w:hAnsi="Times New Roman" w:eastAsia="仿宋_GB2312" w:cs="仿宋_GB2312"/>
          <w:sz w:val="32"/>
          <w:szCs w:val="32"/>
          <w:lang w:val="zh-CN"/>
        </w:rPr>
      </w:pP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年度一般公共预算财政拨款基本支出</w:t>
      </w:r>
      <w:r>
        <w:rPr>
          <w:rFonts w:ascii="仿宋_GB2312" w:hAnsi="Times New Roman" w:eastAsia="仿宋_GB2312" w:cs="仿宋_GB2312"/>
          <w:color w:val="000000"/>
          <w:sz w:val="32"/>
          <w:szCs w:val="32"/>
        </w:rPr>
        <w:t>9,705.51</w:t>
      </w:r>
      <w:r>
        <w:rPr>
          <w:rFonts w:hint="eastAsia" w:ascii="仿宋_GB2312" w:hAnsi="Times New Roman" w:eastAsia="仿宋_GB2312" w:cs="仿宋_GB2312"/>
          <w:color w:val="000000"/>
          <w:sz w:val="32"/>
          <w:szCs w:val="32"/>
        </w:rPr>
        <w:t>万元，其中：人员经费</w:t>
      </w:r>
      <w:r>
        <w:rPr>
          <w:rFonts w:ascii="仿宋_GB2312" w:hAnsi="Times New Roman" w:eastAsia="仿宋_GB2312" w:cs="仿宋_GB2312"/>
          <w:color w:val="000000"/>
          <w:sz w:val="32"/>
          <w:szCs w:val="32"/>
        </w:rPr>
        <w:t>9,084.67</w:t>
      </w:r>
      <w:r>
        <w:rPr>
          <w:rFonts w:hint="eastAsia" w:ascii="仿宋_GB2312" w:hAnsi="Times New Roman" w:eastAsia="仿宋_GB2312" w:cs="仿宋_GB2312"/>
          <w:color w:val="000000"/>
          <w:sz w:val="32"/>
          <w:szCs w:val="32"/>
        </w:rPr>
        <w:t>万元，主要包括：基本工资</w:t>
      </w:r>
      <w:r>
        <w:rPr>
          <w:rFonts w:ascii="仿宋_GB2312" w:hAnsi="Times New Roman" w:eastAsia="仿宋_GB2312" w:cs="仿宋_GB2312"/>
          <w:color w:val="000000"/>
          <w:sz w:val="32"/>
          <w:szCs w:val="32"/>
        </w:rPr>
        <w:t>4246.93</w:t>
      </w:r>
      <w:r>
        <w:rPr>
          <w:rFonts w:hint="eastAsia" w:ascii="仿宋_GB2312" w:hAnsi="Times New Roman" w:eastAsia="仿宋_GB2312" w:cs="仿宋_GB2312"/>
          <w:color w:val="000000"/>
          <w:sz w:val="32"/>
          <w:szCs w:val="32"/>
        </w:rPr>
        <w:t>万元、津贴补贴</w:t>
      </w:r>
      <w:r>
        <w:rPr>
          <w:rFonts w:ascii="仿宋_GB2312" w:hAnsi="Times New Roman" w:eastAsia="仿宋_GB2312" w:cs="仿宋_GB2312"/>
          <w:color w:val="000000"/>
          <w:sz w:val="32"/>
          <w:szCs w:val="32"/>
        </w:rPr>
        <w:t>9.53</w:t>
      </w:r>
      <w:r>
        <w:rPr>
          <w:rFonts w:hint="eastAsia" w:ascii="仿宋_GB2312" w:hAnsi="Times New Roman" w:eastAsia="仿宋_GB2312" w:cs="仿宋_GB2312"/>
          <w:color w:val="000000"/>
          <w:sz w:val="32"/>
          <w:szCs w:val="32"/>
        </w:rPr>
        <w:t>万元</w:t>
      </w:r>
      <w:r>
        <w:rPr>
          <w:rFonts w:hint="eastAsia" w:ascii="仿宋_GB2312" w:hAnsi="Times New Roman" w:eastAsia="仿宋_GB2312" w:cs="仿宋_GB2312"/>
          <w:sz w:val="32"/>
          <w:szCs w:val="32"/>
          <w:lang w:val="zh-CN"/>
        </w:rPr>
        <w:t>、其他社会保障缴费</w:t>
      </w:r>
      <w:r>
        <w:rPr>
          <w:rFonts w:ascii="仿宋_GB2312" w:hAnsi="Times New Roman" w:eastAsia="仿宋_GB2312" w:cs="仿宋_GB2312"/>
          <w:sz w:val="32"/>
          <w:szCs w:val="32"/>
          <w:lang w:val="zh-CN"/>
        </w:rPr>
        <w:t>437.66</w:t>
      </w:r>
      <w:r>
        <w:rPr>
          <w:rFonts w:hint="eastAsia" w:ascii="仿宋_GB2312" w:hAnsi="Times New Roman" w:eastAsia="仿宋_GB2312" w:cs="仿宋_GB2312"/>
          <w:sz w:val="32"/>
          <w:szCs w:val="32"/>
          <w:lang w:val="zh-CN"/>
        </w:rPr>
        <w:t>万元、绩效工资</w:t>
      </w:r>
      <w:r>
        <w:rPr>
          <w:rFonts w:ascii="仿宋_GB2312" w:hAnsi="Times New Roman" w:eastAsia="仿宋_GB2312" w:cs="仿宋_GB2312"/>
          <w:sz w:val="32"/>
          <w:szCs w:val="32"/>
          <w:lang w:val="zh-CN"/>
        </w:rPr>
        <w:t>1199.61</w:t>
      </w:r>
      <w:r>
        <w:rPr>
          <w:rFonts w:hint="eastAsia" w:ascii="仿宋_GB2312" w:hAnsi="Times New Roman" w:eastAsia="仿宋_GB2312" w:cs="仿宋_GB2312"/>
          <w:sz w:val="32"/>
          <w:szCs w:val="32"/>
          <w:lang w:val="zh-CN"/>
        </w:rPr>
        <w:t>万元、基本养老保险缴费</w:t>
      </w:r>
      <w:r>
        <w:rPr>
          <w:rFonts w:ascii="仿宋_GB2312" w:hAnsi="Times New Roman" w:eastAsia="仿宋_GB2312" w:cs="仿宋_GB2312"/>
          <w:sz w:val="32"/>
          <w:szCs w:val="32"/>
          <w:lang w:val="zh-CN"/>
        </w:rPr>
        <w:t>371.92</w:t>
      </w:r>
      <w:r>
        <w:rPr>
          <w:rFonts w:hint="eastAsia" w:ascii="仿宋_GB2312" w:hAnsi="Times New Roman" w:eastAsia="仿宋_GB2312" w:cs="仿宋_GB2312"/>
          <w:sz w:val="32"/>
          <w:szCs w:val="32"/>
          <w:lang w:val="zh-CN"/>
        </w:rPr>
        <w:t>万元、职业年金缴费</w:t>
      </w:r>
      <w:r>
        <w:rPr>
          <w:rFonts w:ascii="仿宋_GB2312" w:hAnsi="Times New Roman" w:eastAsia="仿宋_GB2312" w:cs="仿宋_GB2312"/>
          <w:sz w:val="32"/>
          <w:szCs w:val="32"/>
          <w:lang w:val="zh-CN"/>
        </w:rPr>
        <w:t>186.20</w:t>
      </w:r>
      <w:r>
        <w:rPr>
          <w:rFonts w:hint="eastAsia" w:ascii="仿宋_GB2312" w:hAnsi="Times New Roman" w:eastAsia="仿宋_GB2312" w:cs="仿宋_GB2312"/>
          <w:sz w:val="32"/>
          <w:szCs w:val="32"/>
          <w:lang w:val="zh-CN"/>
        </w:rPr>
        <w:t>万元、离休费</w:t>
      </w:r>
      <w:r>
        <w:rPr>
          <w:rFonts w:ascii="仿宋_GB2312" w:hAnsi="Times New Roman" w:eastAsia="仿宋_GB2312" w:cs="仿宋_GB2312"/>
          <w:sz w:val="32"/>
          <w:szCs w:val="32"/>
          <w:lang w:val="zh-CN"/>
        </w:rPr>
        <w:t>73.87</w:t>
      </w:r>
      <w:r>
        <w:rPr>
          <w:rFonts w:hint="eastAsia" w:ascii="仿宋_GB2312" w:hAnsi="Times New Roman" w:eastAsia="仿宋_GB2312" w:cs="仿宋_GB2312"/>
          <w:sz w:val="32"/>
          <w:szCs w:val="32"/>
          <w:lang w:val="zh-CN"/>
        </w:rPr>
        <w:t>万元、退休费</w:t>
      </w:r>
      <w:r>
        <w:rPr>
          <w:rFonts w:ascii="仿宋_GB2312" w:hAnsi="Times New Roman" w:eastAsia="仿宋_GB2312" w:cs="仿宋_GB2312"/>
          <w:sz w:val="32"/>
          <w:szCs w:val="32"/>
          <w:lang w:val="zh-CN"/>
        </w:rPr>
        <w:t>1684.87</w:t>
      </w:r>
      <w:r>
        <w:rPr>
          <w:rFonts w:hint="eastAsia" w:ascii="仿宋_GB2312" w:hAnsi="Times New Roman" w:eastAsia="仿宋_GB2312" w:cs="仿宋_GB2312"/>
          <w:sz w:val="32"/>
          <w:szCs w:val="32"/>
          <w:lang w:val="zh-CN"/>
        </w:rPr>
        <w:t>万元、抚恤金</w:t>
      </w:r>
      <w:r>
        <w:rPr>
          <w:rFonts w:ascii="仿宋_GB2312" w:hAnsi="Times New Roman" w:eastAsia="仿宋_GB2312" w:cs="仿宋_GB2312"/>
          <w:sz w:val="32"/>
          <w:szCs w:val="32"/>
          <w:lang w:val="zh-CN"/>
        </w:rPr>
        <w:t>26.54</w:t>
      </w:r>
      <w:r>
        <w:rPr>
          <w:rFonts w:hint="eastAsia" w:ascii="仿宋_GB2312" w:hAnsi="Times New Roman" w:eastAsia="仿宋_GB2312" w:cs="仿宋_GB2312"/>
          <w:sz w:val="32"/>
          <w:szCs w:val="32"/>
          <w:lang w:val="zh-CN"/>
        </w:rPr>
        <w:t>万元、生活补助</w:t>
      </w:r>
      <w:r>
        <w:rPr>
          <w:rFonts w:ascii="仿宋_GB2312" w:hAnsi="Times New Roman" w:eastAsia="仿宋_GB2312" w:cs="仿宋_GB2312"/>
          <w:sz w:val="32"/>
          <w:szCs w:val="32"/>
          <w:lang w:val="zh-CN"/>
        </w:rPr>
        <w:t>62.93</w:t>
      </w:r>
      <w:r>
        <w:rPr>
          <w:rFonts w:hint="eastAsia" w:ascii="仿宋_GB2312" w:hAnsi="Times New Roman" w:eastAsia="仿宋_GB2312" w:cs="仿宋_GB2312"/>
          <w:sz w:val="32"/>
          <w:szCs w:val="32"/>
          <w:lang w:val="zh-CN"/>
        </w:rPr>
        <w:t>万元、助学金</w:t>
      </w:r>
      <w:r>
        <w:rPr>
          <w:rFonts w:ascii="仿宋_GB2312" w:hAnsi="Times New Roman" w:eastAsia="仿宋_GB2312" w:cs="仿宋_GB2312"/>
          <w:sz w:val="32"/>
          <w:szCs w:val="32"/>
          <w:lang w:val="zh-CN"/>
        </w:rPr>
        <w:t>4.99</w:t>
      </w:r>
      <w:r>
        <w:rPr>
          <w:rFonts w:hint="eastAsia" w:ascii="仿宋_GB2312" w:hAnsi="Times New Roman" w:eastAsia="仿宋_GB2312" w:cs="仿宋_GB2312"/>
          <w:sz w:val="32"/>
          <w:szCs w:val="32"/>
          <w:lang w:val="zh-CN"/>
        </w:rPr>
        <w:t>万元、奖励金</w:t>
      </w:r>
      <w:r>
        <w:rPr>
          <w:rFonts w:ascii="仿宋_GB2312" w:hAnsi="Times New Roman" w:eastAsia="仿宋_GB2312" w:cs="仿宋_GB2312"/>
          <w:sz w:val="32"/>
          <w:szCs w:val="32"/>
          <w:lang w:val="zh-CN"/>
        </w:rPr>
        <w:t>0.1</w:t>
      </w:r>
      <w:r>
        <w:rPr>
          <w:rFonts w:hint="eastAsia" w:ascii="仿宋_GB2312" w:hAnsi="Times New Roman" w:eastAsia="仿宋_GB2312" w:cs="仿宋_GB2312"/>
          <w:sz w:val="32"/>
          <w:szCs w:val="32"/>
          <w:lang w:val="zh-CN"/>
        </w:rPr>
        <w:t>万元、住房公积金</w:t>
      </w:r>
      <w:r>
        <w:rPr>
          <w:rFonts w:ascii="仿宋_GB2312" w:hAnsi="Times New Roman" w:eastAsia="仿宋_GB2312" w:cs="仿宋_GB2312"/>
          <w:sz w:val="32"/>
          <w:szCs w:val="32"/>
          <w:lang w:val="zh-CN"/>
        </w:rPr>
        <w:t>690.68</w:t>
      </w:r>
      <w:r>
        <w:rPr>
          <w:rFonts w:hint="eastAsia" w:ascii="仿宋_GB2312" w:hAnsi="Times New Roman" w:eastAsia="仿宋_GB2312" w:cs="仿宋_GB2312"/>
          <w:sz w:val="32"/>
          <w:szCs w:val="32"/>
          <w:lang w:val="zh-CN"/>
        </w:rPr>
        <w:t>万元、购房补贴</w:t>
      </w:r>
      <w:r>
        <w:rPr>
          <w:rFonts w:ascii="仿宋_GB2312" w:hAnsi="Times New Roman" w:eastAsia="仿宋_GB2312" w:cs="仿宋_GB2312"/>
          <w:sz w:val="32"/>
          <w:szCs w:val="32"/>
          <w:lang w:val="zh-CN"/>
        </w:rPr>
        <w:t>35</w:t>
      </w:r>
      <w:r>
        <w:rPr>
          <w:rFonts w:hint="eastAsia" w:ascii="仿宋_GB2312" w:hAnsi="Times New Roman" w:eastAsia="仿宋_GB2312" w:cs="仿宋_GB2312"/>
          <w:sz w:val="32"/>
          <w:szCs w:val="32"/>
          <w:lang w:val="zh-CN"/>
        </w:rPr>
        <w:t>万元、其他对个人和家庭的补助支出</w:t>
      </w:r>
      <w:r>
        <w:rPr>
          <w:rFonts w:ascii="仿宋_GB2312" w:hAnsi="Times New Roman" w:eastAsia="仿宋_GB2312" w:cs="仿宋_GB2312"/>
          <w:sz w:val="32"/>
          <w:szCs w:val="32"/>
          <w:lang w:val="zh-CN"/>
        </w:rPr>
        <w:t>53.84</w:t>
      </w:r>
      <w:r>
        <w:rPr>
          <w:rFonts w:hint="eastAsia" w:ascii="仿宋_GB2312" w:hAnsi="Times New Roman" w:eastAsia="仿宋_GB2312" w:cs="仿宋_GB2312"/>
          <w:sz w:val="32"/>
          <w:szCs w:val="32"/>
          <w:lang w:val="zh-CN"/>
        </w:rPr>
        <w:t>万元；公用经费</w:t>
      </w:r>
      <w:r>
        <w:rPr>
          <w:rFonts w:ascii="仿宋_GB2312" w:hAnsi="Times New Roman" w:eastAsia="仿宋_GB2312" w:cs="仿宋_GB2312"/>
          <w:sz w:val="32"/>
          <w:szCs w:val="32"/>
          <w:lang w:val="zh-CN"/>
        </w:rPr>
        <w:t>620.84</w:t>
      </w:r>
      <w:r>
        <w:rPr>
          <w:rFonts w:hint="eastAsia" w:ascii="仿宋_GB2312" w:hAnsi="Times New Roman" w:eastAsia="仿宋_GB2312" w:cs="仿宋_GB2312"/>
          <w:sz w:val="32"/>
          <w:szCs w:val="32"/>
          <w:lang w:val="zh-CN"/>
        </w:rPr>
        <w:t>万元，主要包括：办公费</w:t>
      </w:r>
      <w:r>
        <w:rPr>
          <w:rFonts w:ascii="仿宋_GB2312" w:hAnsi="Times New Roman" w:eastAsia="仿宋_GB2312" w:cs="仿宋_GB2312"/>
          <w:sz w:val="32"/>
          <w:szCs w:val="32"/>
          <w:lang w:val="zh-CN"/>
        </w:rPr>
        <w:t>18.28</w:t>
      </w:r>
      <w:r>
        <w:rPr>
          <w:rFonts w:hint="eastAsia" w:ascii="仿宋_GB2312" w:hAnsi="Times New Roman" w:eastAsia="仿宋_GB2312" w:cs="仿宋_GB2312"/>
          <w:sz w:val="32"/>
          <w:szCs w:val="32"/>
          <w:lang w:val="zh-CN"/>
        </w:rPr>
        <w:t>万元、印刷费</w:t>
      </w:r>
      <w:r>
        <w:rPr>
          <w:rFonts w:ascii="仿宋_GB2312" w:hAnsi="Times New Roman" w:eastAsia="仿宋_GB2312" w:cs="仿宋_GB2312"/>
          <w:sz w:val="32"/>
          <w:szCs w:val="32"/>
          <w:lang w:val="zh-CN"/>
        </w:rPr>
        <w:t>1.73</w:t>
      </w:r>
      <w:r>
        <w:rPr>
          <w:rFonts w:hint="eastAsia" w:ascii="仿宋_GB2312" w:hAnsi="Times New Roman" w:eastAsia="仿宋_GB2312" w:cs="仿宋_GB2312"/>
          <w:sz w:val="32"/>
          <w:szCs w:val="32"/>
          <w:lang w:val="zh-CN"/>
        </w:rPr>
        <w:t>万元、手续费</w:t>
      </w:r>
      <w:r>
        <w:rPr>
          <w:rFonts w:ascii="仿宋_GB2312" w:hAnsi="Times New Roman" w:eastAsia="仿宋_GB2312" w:cs="仿宋_GB2312"/>
          <w:sz w:val="32"/>
          <w:szCs w:val="32"/>
          <w:lang w:val="zh-CN"/>
        </w:rPr>
        <w:t>0.5</w:t>
      </w:r>
      <w:r>
        <w:rPr>
          <w:rFonts w:hint="eastAsia" w:ascii="仿宋_GB2312" w:hAnsi="Times New Roman" w:eastAsia="仿宋_GB2312" w:cs="仿宋_GB2312"/>
          <w:sz w:val="32"/>
          <w:szCs w:val="32"/>
          <w:lang w:val="zh-CN"/>
        </w:rPr>
        <w:t>万元、邮电费</w:t>
      </w:r>
      <w:r>
        <w:rPr>
          <w:rFonts w:ascii="仿宋_GB2312" w:hAnsi="Times New Roman" w:eastAsia="仿宋_GB2312" w:cs="仿宋_GB2312"/>
          <w:sz w:val="32"/>
          <w:szCs w:val="32"/>
          <w:lang w:val="zh-CN"/>
        </w:rPr>
        <w:t>102.32</w:t>
      </w:r>
      <w:r>
        <w:rPr>
          <w:rFonts w:hint="eastAsia" w:ascii="仿宋_GB2312" w:hAnsi="Times New Roman" w:eastAsia="仿宋_GB2312" w:cs="仿宋_GB2312"/>
          <w:sz w:val="32"/>
          <w:szCs w:val="32"/>
          <w:lang w:val="zh-CN"/>
        </w:rPr>
        <w:t>万元、物业管理费</w:t>
      </w:r>
      <w:r>
        <w:rPr>
          <w:rFonts w:ascii="仿宋_GB2312" w:hAnsi="Times New Roman" w:eastAsia="仿宋_GB2312" w:cs="仿宋_GB2312"/>
          <w:sz w:val="32"/>
          <w:szCs w:val="32"/>
          <w:lang w:val="zh-CN"/>
        </w:rPr>
        <w:t>1.75</w:t>
      </w:r>
      <w:r>
        <w:rPr>
          <w:rFonts w:hint="eastAsia" w:ascii="仿宋_GB2312" w:hAnsi="Times New Roman" w:eastAsia="仿宋_GB2312" w:cs="仿宋_GB2312"/>
          <w:sz w:val="32"/>
          <w:szCs w:val="32"/>
          <w:lang w:val="zh-CN"/>
        </w:rPr>
        <w:t>万元、差旅费</w:t>
      </w:r>
      <w:r>
        <w:rPr>
          <w:rFonts w:ascii="仿宋_GB2312" w:hAnsi="Times New Roman" w:eastAsia="仿宋_GB2312" w:cs="仿宋_GB2312"/>
          <w:sz w:val="32"/>
          <w:szCs w:val="32"/>
          <w:lang w:val="zh-CN"/>
        </w:rPr>
        <w:t>64.59</w:t>
      </w:r>
      <w:r>
        <w:rPr>
          <w:rFonts w:hint="eastAsia" w:ascii="仿宋_GB2312" w:hAnsi="Times New Roman" w:eastAsia="仿宋_GB2312" w:cs="仿宋_GB2312"/>
          <w:sz w:val="32"/>
          <w:szCs w:val="32"/>
          <w:lang w:val="zh-CN"/>
        </w:rPr>
        <w:t>万元、维修（护）费</w:t>
      </w:r>
      <w:r>
        <w:rPr>
          <w:rFonts w:ascii="仿宋_GB2312" w:hAnsi="Times New Roman" w:eastAsia="仿宋_GB2312" w:cs="仿宋_GB2312"/>
          <w:sz w:val="32"/>
          <w:szCs w:val="32"/>
          <w:lang w:val="zh-CN"/>
        </w:rPr>
        <w:t>26.85</w:t>
      </w:r>
      <w:r>
        <w:rPr>
          <w:rFonts w:hint="eastAsia" w:ascii="仿宋_GB2312" w:hAnsi="Times New Roman" w:eastAsia="仿宋_GB2312" w:cs="仿宋_GB2312"/>
          <w:sz w:val="32"/>
          <w:szCs w:val="32"/>
          <w:lang w:val="zh-CN"/>
        </w:rPr>
        <w:t>万元、租赁费</w:t>
      </w:r>
      <w:r>
        <w:rPr>
          <w:rFonts w:ascii="仿宋_GB2312" w:hAnsi="Times New Roman" w:eastAsia="仿宋_GB2312" w:cs="仿宋_GB2312"/>
          <w:sz w:val="32"/>
          <w:szCs w:val="32"/>
          <w:lang w:val="zh-CN"/>
        </w:rPr>
        <w:t>2.71</w:t>
      </w:r>
      <w:r>
        <w:rPr>
          <w:rFonts w:hint="eastAsia" w:ascii="仿宋_GB2312" w:hAnsi="Times New Roman" w:eastAsia="仿宋_GB2312" w:cs="仿宋_GB2312"/>
          <w:sz w:val="32"/>
          <w:szCs w:val="32"/>
          <w:lang w:val="zh-CN"/>
        </w:rPr>
        <w:t>、培训费</w:t>
      </w:r>
      <w:r>
        <w:rPr>
          <w:rFonts w:ascii="仿宋_GB2312" w:hAnsi="Times New Roman" w:eastAsia="仿宋_GB2312" w:cs="仿宋_GB2312"/>
          <w:sz w:val="32"/>
          <w:szCs w:val="32"/>
          <w:lang w:val="zh-CN"/>
        </w:rPr>
        <w:t>26.5</w:t>
      </w:r>
      <w:r>
        <w:rPr>
          <w:rFonts w:hint="eastAsia" w:ascii="仿宋_GB2312" w:hAnsi="Times New Roman" w:eastAsia="仿宋_GB2312" w:cs="仿宋_GB2312"/>
          <w:sz w:val="32"/>
          <w:szCs w:val="32"/>
          <w:lang w:val="zh-CN"/>
        </w:rPr>
        <w:t>万元、专用材料费</w:t>
      </w:r>
      <w:r>
        <w:rPr>
          <w:rFonts w:ascii="仿宋_GB2312" w:hAnsi="Times New Roman" w:eastAsia="仿宋_GB2312" w:cs="仿宋_GB2312"/>
          <w:sz w:val="32"/>
          <w:szCs w:val="32"/>
          <w:lang w:val="zh-CN"/>
        </w:rPr>
        <w:t>19.16</w:t>
      </w:r>
      <w:r>
        <w:rPr>
          <w:rFonts w:hint="eastAsia" w:ascii="仿宋_GB2312" w:hAnsi="Times New Roman" w:eastAsia="仿宋_GB2312" w:cs="仿宋_GB2312"/>
          <w:sz w:val="32"/>
          <w:szCs w:val="32"/>
          <w:lang w:val="zh-CN"/>
        </w:rPr>
        <w:t>万元、劳务费</w:t>
      </w:r>
      <w:r>
        <w:rPr>
          <w:rFonts w:ascii="仿宋_GB2312" w:hAnsi="Times New Roman" w:eastAsia="仿宋_GB2312" w:cs="仿宋_GB2312"/>
          <w:sz w:val="32"/>
          <w:szCs w:val="32"/>
          <w:lang w:val="zh-CN"/>
        </w:rPr>
        <w:t>44.45</w:t>
      </w:r>
      <w:r>
        <w:rPr>
          <w:rFonts w:hint="eastAsia" w:ascii="仿宋_GB2312" w:hAnsi="Times New Roman" w:eastAsia="仿宋_GB2312" w:cs="仿宋_GB2312"/>
          <w:sz w:val="32"/>
          <w:szCs w:val="32"/>
          <w:lang w:val="zh-CN"/>
        </w:rPr>
        <w:t>万元、工会经费</w:t>
      </w:r>
      <w:r>
        <w:rPr>
          <w:rFonts w:ascii="仿宋_GB2312" w:hAnsi="Times New Roman" w:eastAsia="仿宋_GB2312" w:cs="仿宋_GB2312"/>
          <w:sz w:val="32"/>
          <w:szCs w:val="32"/>
          <w:lang w:val="zh-CN"/>
        </w:rPr>
        <w:t>240.27</w:t>
      </w:r>
      <w:r>
        <w:rPr>
          <w:rFonts w:hint="eastAsia" w:ascii="仿宋_GB2312" w:hAnsi="Times New Roman" w:eastAsia="仿宋_GB2312" w:cs="仿宋_GB2312"/>
          <w:sz w:val="32"/>
          <w:szCs w:val="32"/>
          <w:lang w:val="zh-CN"/>
        </w:rPr>
        <w:t>万元、其他商品和服务支出</w:t>
      </w:r>
      <w:r>
        <w:rPr>
          <w:rFonts w:ascii="仿宋_GB2312" w:hAnsi="Times New Roman" w:eastAsia="仿宋_GB2312" w:cs="仿宋_GB2312"/>
          <w:sz w:val="32"/>
          <w:szCs w:val="32"/>
          <w:lang w:val="zh-CN"/>
        </w:rPr>
        <w:t>55.29</w:t>
      </w:r>
      <w:r>
        <w:rPr>
          <w:rFonts w:hint="eastAsia" w:ascii="仿宋_GB2312" w:hAnsi="Times New Roman" w:eastAsia="仿宋_GB2312" w:cs="仿宋_GB2312"/>
          <w:sz w:val="32"/>
          <w:szCs w:val="32"/>
          <w:lang w:val="zh-CN"/>
        </w:rPr>
        <w:t>万元、办公设备购置</w:t>
      </w:r>
      <w:r>
        <w:rPr>
          <w:rFonts w:ascii="仿宋_GB2312" w:hAnsi="Times New Roman" w:eastAsia="仿宋_GB2312" w:cs="仿宋_GB2312"/>
          <w:sz w:val="32"/>
          <w:szCs w:val="32"/>
          <w:lang w:val="zh-CN"/>
        </w:rPr>
        <w:t>6.19</w:t>
      </w:r>
      <w:r>
        <w:rPr>
          <w:rFonts w:hint="eastAsia" w:ascii="仿宋_GB2312" w:hAnsi="Times New Roman" w:eastAsia="仿宋_GB2312" w:cs="仿宋_GB2312"/>
          <w:sz w:val="32"/>
          <w:szCs w:val="32"/>
          <w:lang w:val="zh-CN"/>
        </w:rPr>
        <w:t>万元、专用设备购置</w:t>
      </w:r>
      <w:r>
        <w:rPr>
          <w:rFonts w:ascii="仿宋_GB2312" w:hAnsi="Times New Roman" w:eastAsia="仿宋_GB2312" w:cs="仿宋_GB2312"/>
          <w:sz w:val="32"/>
          <w:szCs w:val="32"/>
          <w:lang w:val="zh-CN"/>
        </w:rPr>
        <w:t>10.2</w:t>
      </w:r>
      <w:r>
        <w:rPr>
          <w:rFonts w:hint="eastAsia" w:ascii="仿宋_GB2312" w:hAnsi="Times New Roman" w:eastAsia="仿宋_GB2312" w:cs="仿宋_GB2312"/>
          <w:sz w:val="32"/>
          <w:szCs w:val="32"/>
          <w:lang w:val="zh-CN"/>
        </w:rPr>
        <w:t>万元、其他资本性支出</w:t>
      </w:r>
      <w:r>
        <w:rPr>
          <w:rFonts w:ascii="仿宋_GB2312" w:hAnsi="Times New Roman" w:eastAsia="仿宋_GB2312" w:cs="仿宋_GB2312"/>
          <w:sz w:val="32"/>
          <w:szCs w:val="32"/>
          <w:lang w:val="zh-CN"/>
        </w:rPr>
        <w:t>0.08</w:t>
      </w:r>
      <w:r>
        <w:rPr>
          <w:rFonts w:hint="eastAsia" w:ascii="仿宋_GB2312" w:hAnsi="Times New Roman" w:eastAsia="仿宋_GB2312" w:cs="仿宋_GB2312"/>
          <w:sz w:val="32"/>
          <w:szCs w:val="32"/>
          <w:lang w:val="zh-CN"/>
        </w:rPr>
        <w:t>万元。</w:t>
      </w:r>
    </w:p>
    <w:p>
      <w:pPr>
        <w:autoSpaceDE w:val="0"/>
        <w:autoSpaceDN w:val="0"/>
        <w:adjustRightInd w:val="0"/>
        <w:spacing w:line="560" w:lineRule="exact"/>
        <w:ind w:firstLine="640"/>
        <w:rPr>
          <w:rFonts w:eastAsia="仿宋_GB2312" w:cs="Calibri"/>
          <w:color w:val="000000"/>
          <w:sz w:val="32"/>
          <w:szCs w:val="32"/>
        </w:rPr>
      </w:pPr>
      <w:r>
        <w:rPr>
          <w:rFonts w:hint="eastAsia" w:ascii="仿宋_GB2312" w:eastAsia="仿宋_GB2312" w:cs="仿宋_GB2312"/>
          <w:color w:val="000000"/>
          <w:sz w:val="32"/>
          <w:szCs w:val="32"/>
        </w:rPr>
        <w:t>（七）</w:t>
      </w:r>
      <w:r>
        <w:rPr>
          <w:rFonts w:hint="eastAsia" w:ascii="仿宋_GB2312" w:hAnsi="Times New Roman" w:eastAsia="仿宋_GB2312" w:cs="仿宋_GB2312"/>
          <w:sz w:val="32"/>
          <w:szCs w:val="32"/>
          <w:lang w:val="zh-CN"/>
        </w:rPr>
        <w:t>铜仁职业技术学院</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年度一般公共预算财政拨款</w:t>
      </w:r>
      <w:r>
        <w:rPr>
          <w:rFonts w:eastAsia="仿宋_GB2312" w:cs="Calibri"/>
          <w:color w:val="000000"/>
          <w:sz w:val="32"/>
          <w:szCs w:val="32"/>
        </w:rPr>
        <w:t>“</w:t>
      </w:r>
      <w:r>
        <w:rPr>
          <w:rFonts w:hint="eastAsia" w:ascii="仿宋_GB2312" w:eastAsia="仿宋_GB2312" w:cs="仿宋_GB2312"/>
          <w:color w:val="000000"/>
          <w:sz w:val="32"/>
          <w:szCs w:val="32"/>
        </w:rPr>
        <w:t>三公</w:t>
      </w:r>
      <w:r>
        <w:rPr>
          <w:rFonts w:eastAsia="仿宋_GB2312" w:cs="Calibri"/>
          <w:color w:val="000000"/>
          <w:sz w:val="32"/>
          <w:szCs w:val="32"/>
        </w:rPr>
        <w:t>”</w:t>
      </w:r>
      <w:r>
        <w:rPr>
          <w:rFonts w:hint="eastAsia" w:ascii="仿宋_GB2312" w:eastAsia="仿宋_GB2312" w:cs="仿宋_GB2312"/>
          <w:color w:val="000000"/>
          <w:sz w:val="32"/>
          <w:szCs w:val="32"/>
        </w:rPr>
        <w:t>经费支出决算情况说明</w:t>
      </w:r>
    </w:p>
    <w:p>
      <w:pPr>
        <w:autoSpaceDE w:val="0"/>
        <w:autoSpaceDN w:val="0"/>
        <w:adjustRightInd w:val="0"/>
        <w:spacing w:line="560" w:lineRule="exac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年度一般公共预算财政拨款“三公”经费支出</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万元。</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年我单位三公经费主要是从事业收入中列支。</w:t>
      </w:r>
    </w:p>
    <w:p>
      <w:pPr>
        <w:autoSpaceDE w:val="0"/>
        <w:autoSpaceDN w:val="0"/>
        <w:adjustRightInd w:val="0"/>
        <w:spacing w:line="560" w:lineRule="exac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、因公出国</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境</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费</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万元；</w:t>
      </w:r>
    </w:p>
    <w:p>
      <w:pPr>
        <w:autoSpaceDE w:val="0"/>
        <w:autoSpaceDN w:val="0"/>
        <w:adjustRightInd w:val="0"/>
        <w:spacing w:line="560"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、公务用车购置及运行维护费</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万元；</w:t>
      </w:r>
    </w:p>
    <w:p>
      <w:pPr>
        <w:autoSpaceDE w:val="0"/>
        <w:autoSpaceDN w:val="0"/>
        <w:adjustRightInd w:val="0"/>
        <w:spacing w:line="560" w:lineRule="exact"/>
        <w:ind w:firstLine="640"/>
        <w:rPr>
          <w:rFonts w:ascii="仿宋_GB2312" w:hAnsi="宋体"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w:t>
      </w:r>
      <w:r>
        <w:rPr>
          <w:rFonts w:hint="eastAsia" w:ascii="仿宋_GB2312" w:hAnsi="宋体" w:eastAsia="仿宋_GB2312" w:cs="仿宋_GB2312"/>
          <w:color w:val="000000"/>
          <w:sz w:val="32"/>
          <w:szCs w:val="32"/>
        </w:rPr>
        <w:t>公务接待费</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万元。</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（八）政府性基金预算收入支出决算情况说明</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hint="eastAsia" w:ascii="仿宋_GB2312" w:hAnsi="Times New Roman" w:eastAsia="仿宋_GB2312" w:cs="仿宋_GB2312"/>
          <w:sz w:val="32"/>
          <w:szCs w:val="32"/>
          <w:lang w:val="zh-CN"/>
        </w:rPr>
        <w:t>铜仁职业技术学院</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年政府性基金预算财政拨款本年收入</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万元，本年支出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hAnsi="Times New Roman" w:eastAsia="仿宋_GB2312" w:cs="仿宋_GB2312"/>
          <w:color w:val="000000"/>
          <w:sz w:val="32"/>
          <w:szCs w:val="32"/>
        </w:rPr>
        <w:t>（九）其他重要事项的情况说明</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、机关运行经费支出情况。</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hint="eastAsia" w:ascii="仿宋_GB2312" w:eastAsia="仿宋_GB2312" w:cs="仿宋_GB2312"/>
          <w:color w:val="000000"/>
          <w:sz w:val="32"/>
          <w:szCs w:val="32"/>
        </w:rPr>
        <w:t>铜仁职业技术学院属于事业单位</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年机关运行经费支出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、政府采购支出情况。</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sz w:val="32"/>
          <w:szCs w:val="32"/>
          <w:lang w:val="zh-CN"/>
        </w:rPr>
        <w:t>铜仁职业技术学院</w:t>
      </w:r>
      <w:r>
        <w:rPr>
          <w:rFonts w:hint="eastAsia" w:ascii="仿宋_GB2312" w:hAnsi="Times New Roman" w:eastAsia="仿宋_GB2312" w:cs="仿宋_GB2312"/>
          <w:color w:val="000000"/>
          <w:sz w:val="32"/>
          <w:szCs w:val="32"/>
        </w:rPr>
        <w:t>政府采购支出总额</w:t>
      </w:r>
      <w:r>
        <w:rPr>
          <w:rFonts w:ascii="仿宋_GB2312" w:hAnsi="Times New Roman" w:eastAsia="仿宋_GB2312" w:cs="仿宋_GB2312"/>
          <w:color w:val="000000"/>
          <w:sz w:val="32"/>
          <w:szCs w:val="32"/>
        </w:rPr>
        <w:t>3618.04</w:t>
      </w:r>
      <w:r>
        <w:rPr>
          <w:rFonts w:hint="eastAsia" w:ascii="仿宋_GB2312" w:hAnsi="Times New Roman" w:eastAsia="仿宋_GB2312" w:cs="仿宋_GB2312"/>
          <w:color w:val="000000"/>
          <w:sz w:val="32"/>
          <w:szCs w:val="32"/>
        </w:rPr>
        <w:t>万元，其中：政府采购货物支出</w:t>
      </w:r>
      <w:r>
        <w:rPr>
          <w:rFonts w:ascii="仿宋_GB2312" w:hAnsi="Times New Roman" w:eastAsia="仿宋_GB2312" w:cs="仿宋_GB2312"/>
          <w:color w:val="000000"/>
          <w:sz w:val="32"/>
          <w:szCs w:val="32"/>
        </w:rPr>
        <w:t>3387.73</w:t>
      </w:r>
      <w:r>
        <w:rPr>
          <w:rFonts w:hint="eastAsia" w:ascii="仿宋_GB2312" w:hAnsi="Times New Roman" w:eastAsia="仿宋_GB2312" w:cs="仿宋_GB2312"/>
          <w:color w:val="000000"/>
          <w:sz w:val="32"/>
          <w:szCs w:val="32"/>
        </w:rPr>
        <w:t>万元、政府采购工程支出</w:t>
      </w:r>
      <w:r>
        <w:rPr>
          <w:rFonts w:ascii="仿宋_GB2312" w:hAnsi="Times New Roman" w:eastAsia="仿宋_GB2312" w:cs="仿宋_GB2312"/>
          <w:color w:val="000000"/>
          <w:sz w:val="32"/>
          <w:szCs w:val="32"/>
        </w:rPr>
        <w:t>133.60</w:t>
      </w:r>
      <w:r>
        <w:rPr>
          <w:rFonts w:hint="eastAsia" w:ascii="仿宋_GB2312" w:hAnsi="Times New Roman" w:eastAsia="仿宋_GB2312" w:cs="仿宋_GB2312"/>
          <w:color w:val="000000"/>
          <w:sz w:val="32"/>
          <w:szCs w:val="32"/>
        </w:rPr>
        <w:t>万元、政府采购服务支出</w:t>
      </w:r>
      <w:r>
        <w:rPr>
          <w:rFonts w:ascii="仿宋_GB2312" w:hAnsi="Times New Roman" w:eastAsia="仿宋_GB2312" w:cs="仿宋_GB2312"/>
          <w:color w:val="000000"/>
          <w:sz w:val="32"/>
          <w:szCs w:val="32"/>
        </w:rPr>
        <w:t>96.71</w:t>
      </w:r>
      <w:r>
        <w:rPr>
          <w:rFonts w:hint="eastAsia" w:ascii="仿宋_GB2312" w:hAnsi="Times New Roman" w:eastAsia="仿宋_GB2312" w:cs="仿宋_GB2312"/>
          <w:color w:val="000000"/>
          <w:sz w:val="32"/>
          <w:szCs w:val="32"/>
        </w:rPr>
        <w:t>万元。</w:t>
      </w:r>
    </w:p>
    <w:p>
      <w:pPr>
        <w:autoSpaceDE w:val="0"/>
        <w:autoSpaceDN w:val="0"/>
        <w:adjustRightInd w:val="0"/>
        <w:spacing w:line="560" w:lineRule="exact"/>
        <w:ind w:firstLine="640"/>
        <w:rPr>
          <w:rFonts w:ascii="Times New Roman"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、国有资产占用情况。</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截至</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12</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31</w:t>
      </w:r>
      <w:r>
        <w:rPr>
          <w:rFonts w:hint="eastAsia" w:ascii="仿宋_GB2312" w:hAnsi="Times New Roman" w:eastAsia="仿宋_GB2312" w:cs="仿宋_GB2312"/>
          <w:color w:val="000000"/>
          <w:sz w:val="32"/>
          <w:szCs w:val="32"/>
        </w:rPr>
        <w:t>日，贵州省</w:t>
      </w:r>
      <w:r>
        <w:rPr>
          <w:rFonts w:hint="eastAsia" w:ascii="仿宋_GB2312" w:hAnsi="Times New Roman" w:eastAsia="仿宋_GB2312" w:cs="仿宋_GB2312"/>
          <w:sz w:val="32"/>
          <w:szCs w:val="32"/>
          <w:lang w:val="zh-CN"/>
        </w:rPr>
        <w:t>铜仁职业技术学院</w:t>
      </w:r>
      <w:r>
        <w:rPr>
          <w:rFonts w:hint="eastAsia" w:ascii="仿宋_GB2312" w:hAnsi="Times New Roman" w:eastAsia="仿宋_GB2312" w:cs="仿宋_GB2312"/>
          <w:color w:val="000000"/>
          <w:sz w:val="32"/>
          <w:szCs w:val="32"/>
        </w:rPr>
        <w:t>共有车辆</w:t>
      </w:r>
      <w:r>
        <w:rPr>
          <w:rFonts w:ascii="仿宋_GB2312" w:hAnsi="Times New Roman" w:eastAsia="仿宋_GB2312" w:cs="仿宋_GB2312"/>
          <w:color w:val="000000"/>
          <w:sz w:val="32"/>
          <w:szCs w:val="32"/>
        </w:rPr>
        <w:t>15</w:t>
      </w:r>
      <w:r>
        <w:rPr>
          <w:rFonts w:hint="eastAsia" w:ascii="仿宋_GB2312" w:hAnsi="Times New Roman" w:eastAsia="仿宋_GB2312" w:cs="仿宋_GB2312"/>
          <w:color w:val="000000"/>
          <w:sz w:val="32"/>
          <w:szCs w:val="32"/>
        </w:rPr>
        <w:t>辆，其中，一般公务用车</w:t>
      </w:r>
      <w:r>
        <w:rPr>
          <w:rFonts w:ascii="仿宋_GB2312" w:hAnsi="Times New Roman" w:eastAsia="仿宋_GB2312" w:cs="仿宋_GB2312"/>
          <w:color w:val="000000"/>
          <w:sz w:val="32"/>
          <w:szCs w:val="32"/>
        </w:rPr>
        <w:t>15</w:t>
      </w:r>
      <w:r>
        <w:rPr>
          <w:rFonts w:hint="eastAsia" w:ascii="仿宋_GB2312" w:hAnsi="Times New Roman" w:eastAsia="仿宋_GB2312" w:cs="仿宋_GB2312"/>
          <w:color w:val="000000"/>
          <w:sz w:val="32"/>
          <w:szCs w:val="32"/>
        </w:rPr>
        <w:t>辆；单位价值</w:t>
      </w:r>
      <w:r>
        <w:rPr>
          <w:rFonts w:ascii="仿宋_GB2312" w:hAnsi="Times New Roman" w:eastAsia="仿宋_GB2312" w:cs="仿宋_GB2312"/>
          <w:color w:val="000000"/>
          <w:sz w:val="32"/>
          <w:szCs w:val="32"/>
        </w:rPr>
        <w:t>200</w:t>
      </w:r>
      <w:r>
        <w:rPr>
          <w:rFonts w:hint="eastAsia" w:ascii="仿宋_GB2312" w:hAnsi="Times New Roman" w:eastAsia="仿宋_GB2312" w:cs="仿宋_GB2312"/>
          <w:color w:val="000000"/>
          <w:sz w:val="32"/>
          <w:szCs w:val="32"/>
        </w:rPr>
        <w:t>万元以上大型设备</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台（套）。</w:t>
      </w:r>
    </w:p>
    <w:p>
      <w:pPr>
        <w:autoSpaceDE w:val="0"/>
        <w:autoSpaceDN w:val="0"/>
        <w:adjustRightInd w:val="0"/>
        <w:spacing w:line="560" w:lineRule="exact"/>
        <w:ind w:firstLine="640"/>
        <w:rPr>
          <w:rFonts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、预算绩效管理工作开展情况</w:t>
      </w:r>
    </w:p>
    <w:p>
      <w:pPr>
        <w:autoSpaceDE w:val="0"/>
        <w:autoSpaceDN w:val="0"/>
        <w:adjustRightInd w:val="0"/>
        <w:spacing w:line="560" w:lineRule="exact"/>
        <w:ind w:left="477" w:firstLine="643"/>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2016年没有开展此项工作。</w:t>
      </w:r>
    </w:p>
    <w:p>
      <w:pPr>
        <w:autoSpaceDE w:val="0"/>
        <w:autoSpaceDN w:val="0"/>
        <w:adjustRightInd w:val="0"/>
        <w:spacing w:line="560" w:lineRule="exact"/>
        <w:ind w:firstLine="643" w:firstLineChars="200"/>
        <w:rPr>
          <w:rFonts w:eastAsia="黑体" w:cs="Times New Roman"/>
          <w:b/>
          <w:bCs/>
          <w:sz w:val="32"/>
          <w:szCs w:val="32"/>
        </w:rPr>
      </w:pPr>
      <w:r>
        <w:rPr>
          <w:rFonts w:hint="eastAsia" w:ascii="黑体" w:eastAsia="黑体" w:cs="黑体"/>
          <w:b/>
          <w:bCs/>
          <w:sz w:val="32"/>
          <w:szCs w:val="32"/>
        </w:rPr>
        <w:t>四、名词解释</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（一）财政补助收入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指从同级财政部门取得的各类拨款。包括：基本经费拨款（人员经费拨款、公用经费拨款）和项目经费拨款（科研经费拨款、各类专款等）。</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（二）教育事业收入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指核算高等学校开展教学及其辅助活动取得的收入。包括：通过学历和非学历教育向学生个人或者单位收取的学费、住宿费、委托培养费、考试考务费、培训费和其他教育事业收入。</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（三）科研事业收入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指核算高等学校开展科研及其辅助活动取得的收入。包括：通过承接科研项目、开展科研协作、转化科技成果、进行科技咨询等取得的收入。</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开展科研及其辅助活动从非同级财政部门取得的经费拨款应单设“非同级财政拨款”明细科目进行核算。</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（三）上级补助收入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指是指高等学校从主管部门和上级单位取得的非财政补助收入。</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（四）附属单位上缴收入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指是指高等学校附属独立核算单位按有关规定上缴学校的收入。</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（五）经营收入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指在专业业务活动及其辅助活动之外开展非独立核算经营活动取得的收入。</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（六）其他收入</w:t>
      </w:r>
      <w:r>
        <w:rPr>
          <w:rFonts w:ascii="仿宋_GB2312" w:eastAsia="仿宋_GB2312" w:cs="仿宋_GB2312"/>
          <w:color w:val="000000"/>
          <w:sz w:val="32"/>
          <w:szCs w:val="32"/>
        </w:rPr>
        <w:t>:</w:t>
      </w:r>
      <w:r>
        <w:rPr>
          <w:rFonts w:hint="eastAsia" w:ascii="仿宋_GB2312" w:eastAsia="仿宋_GB2312" w:cs="仿宋_GB2312"/>
          <w:color w:val="000000"/>
          <w:sz w:val="32"/>
          <w:szCs w:val="32"/>
        </w:rPr>
        <w:t>指核算高等学校除财政补助收入、教育事业收入、科研事业收入、上级补助收入、附属单位上缴收入、经营收入以外的各项收入。包括投资收益、银行存款利息收入、租金收入、捐赠收入、现金盘盈收入、存货盘盈收入、收回已核销应收及预付款项、无法偿付的应付及预收款项等。</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从非同级财政部门取得的不属于科研收入的经费拨款。</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（七）教育事业支出：指核算高校开展各类教学活动和教学辅助活动发生的基本支出和项目支出。</w:t>
      </w:r>
    </w:p>
    <w:p>
      <w:pPr>
        <w:autoSpaceDE w:val="0"/>
        <w:autoSpaceDN w:val="0"/>
        <w:adjustRightInd w:val="0"/>
        <w:spacing w:line="56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、教学活动支出是指高等学校各学院、系（含院系下属不单独编列预算的研究所和研究中心，下同）等教学机构，以及校团委、学工部、学生会等各类学生思政教育部门为培养各类学生发生的支出</w:t>
      </w:r>
    </w:p>
    <w:p>
      <w:pPr>
        <w:autoSpaceDE w:val="0"/>
        <w:autoSpaceDN w:val="0"/>
        <w:adjustRightInd w:val="0"/>
        <w:spacing w:line="56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、教学辅助活动支出是指高等学校信息网络中心、电教中心、测试中心、图书馆、博物馆和档案馆等教学辅助部门发生的支出。</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八）科研事业支出：指核算高校开展科研及其辅助活动发生的基本支出和项目支出，包括高等学校在学院、系外单独设立的研究所、研究中心等各类科研机构发生的支出，以及高等学校为完成各项科研任务发生的支出。</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九）行政管理支出：指核算高校校级行政管理部门（不含各类学生思政教育部门）开展行政管理活动发生的基本支出和项目支出，以及科学高等学校统一负担的工会经费、诉讼费、中介费、印花税、房产税、车船税等。</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十）后勤保障支出：指核算高校为教学、科研、行政管理等活动提供后勤保障发生的基本支出和项目支出。包括：学校后勤保障部门为提供后勤保障服务发生的各类支出，以及学校统一承担的水、电、煤、取暖等各类公用事业费、物业管理费、绿化费、车辆维持使用费、房屋及公用设施维修费、食堂价格补贴等。</w:t>
      </w:r>
    </w:p>
    <w:p>
      <w:pPr>
        <w:autoSpaceDE w:val="0"/>
        <w:autoSpaceDN w:val="0"/>
        <w:adjustRightInd w:val="0"/>
        <w:spacing w:line="56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（十一）离退休支出：指核算高校负担的离退休人员的离退休工资、离退休津补贴等基本支出。</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（十二）用事业基金弥补收支差额：指事业单位在当年的</w:t>
      </w:r>
      <w:r>
        <w:rPr>
          <w:rFonts w:eastAsia="仿宋_GB2312" w:cs="Times New Roman"/>
          <w:color w:val="000000"/>
          <w:sz w:val="32"/>
          <w:szCs w:val="32"/>
        </w:rPr>
        <w:t>“</w:t>
      </w:r>
      <w:r>
        <w:rPr>
          <w:rFonts w:hint="eastAsia" w:ascii="仿宋_GB2312" w:eastAsia="仿宋_GB2312" w:cs="仿宋_GB2312"/>
          <w:color w:val="000000"/>
          <w:sz w:val="32"/>
          <w:szCs w:val="32"/>
        </w:rPr>
        <w:t>财政拨款收入</w:t>
      </w:r>
      <w:r>
        <w:rPr>
          <w:rFonts w:eastAsia="仿宋_GB2312" w:cs="Times New Roman"/>
          <w:color w:val="000000"/>
          <w:sz w:val="32"/>
          <w:szCs w:val="32"/>
        </w:rPr>
        <w:t>”</w:t>
      </w:r>
      <w:r>
        <w:rPr>
          <w:rFonts w:hint="eastAsia" w:ascii="仿宋_GB2312" w:eastAsia="仿宋_GB2312" w:cs="仿宋_GB2312"/>
          <w:color w:val="000000"/>
          <w:sz w:val="32"/>
          <w:szCs w:val="32"/>
        </w:rPr>
        <w:t>、</w:t>
      </w:r>
      <w:r>
        <w:rPr>
          <w:rFonts w:eastAsia="仿宋_GB2312" w:cs="Times New Roman"/>
          <w:color w:val="000000"/>
          <w:sz w:val="32"/>
          <w:szCs w:val="32"/>
        </w:rPr>
        <w:t>“</w:t>
      </w:r>
      <w:r>
        <w:rPr>
          <w:rFonts w:hint="eastAsia" w:ascii="仿宋_GB2312" w:eastAsia="仿宋_GB2312" w:cs="仿宋_GB2312"/>
          <w:color w:val="000000"/>
          <w:sz w:val="32"/>
          <w:szCs w:val="32"/>
        </w:rPr>
        <w:t>财政拨款结转和结余资金</w:t>
      </w:r>
      <w:r>
        <w:rPr>
          <w:rFonts w:eastAsia="仿宋_GB2312" w:cs="Times New Roman"/>
          <w:color w:val="000000"/>
          <w:sz w:val="32"/>
          <w:szCs w:val="32"/>
        </w:rPr>
        <w:t>”</w:t>
      </w:r>
      <w:r>
        <w:rPr>
          <w:rFonts w:hint="eastAsia" w:ascii="仿宋_GB2312" w:eastAsia="仿宋_GB2312" w:cs="仿宋_GB2312"/>
          <w:color w:val="000000"/>
          <w:sz w:val="32"/>
          <w:szCs w:val="32"/>
        </w:rPr>
        <w:t>、</w:t>
      </w:r>
      <w:r>
        <w:rPr>
          <w:rFonts w:eastAsia="仿宋_GB2312" w:cs="Times New Roman"/>
          <w:color w:val="000000"/>
          <w:sz w:val="32"/>
          <w:szCs w:val="32"/>
        </w:rPr>
        <w:t>“</w:t>
      </w:r>
      <w:r>
        <w:rPr>
          <w:rFonts w:hint="eastAsia" w:ascii="仿宋_GB2312" w:eastAsia="仿宋_GB2312" w:cs="仿宋_GB2312"/>
          <w:color w:val="000000"/>
          <w:sz w:val="32"/>
          <w:szCs w:val="32"/>
        </w:rPr>
        <w:t>事业收入</w:t>
      </w:r>
      <w:r>
        <w:rPr>
          <w:rFonts w:eastAsia="仿宋_GB2312" w:cs="Times New Roman"/>
          <w:color w:val="000000"/>
          <w:sz w:val="32"/>
          <w:szCs w:val="32"/>
        </w:rPr>
        <w:t>”</w:t>
      </w:r>
      <w:r>
        <w:rPr>
          <w:rFonts w:hint="eastAsia" w:ascii="仿宋_GB2312" w:eastAsia="仿宋_GB2312" w:cs="仿宋_GB2312"/>
          <w:color w:val="000000"/>
          <w:sz w:val="32"/>
          <w:szCs w:val="32"/>
        </w:rPr>
        <w:t>、</w:t>
      </w:r>
      <w:r>
        <w:rPr>
          <w:rFonts w:eastAsia="仿宋_GB2312" w:cs="Times New Roman"/>
          <w:color w:val="000000"/>
          <w:sz w:val="32"/>
          <w:szCs w:val="32"/>
        </w:rPr>
        <w:t>“</w:t>
      </w:r>
      <w:r>
        <w:rPr>
          <w:rFonts w:hint="eastAsia" w:ascii="仿宋_GB2312" w:eastAsia="仿宋_GB2312" w:cs="仿宋_GB2312"/>
          <w:color w:val="000000"/>
          <w:sz w:val="32"/>
          <w:szCs w:val="32"/>
        </w:rPr>
        <w:t>事业单位经营收入</w:t>
      </w:r>
      <w:r>
        <w:rPr>
          <w:rFonts w:eastAsia="仿宋_GB2312" w:cs="Times New Roman"/>
          <w:color w:val="000000"/>
          <w:sz w:val="32"/>
          <w:szCs w:val="32"/>
        </w:rPr>
        <w:t>”</w:t>
      </w:r>
      <w:r>
        <w:rPr>
          <w:rFonts w:hint="eastAsia" w:ascii="仿宋_GB2312" w:eastAsia="仿宋_GB2312" w:cs="仿宋_GB2312"/>
          <w:color w:val="000000"/>
          <w:sz w:val="32"/>
          <w:szCs w:val="32"/>
        </w:rPr>
        <w:t>、</w:t>
      </w:r>
      <w:r>
        <w:rPr>
          <w:rFonts w:eastAsia="仿宋_GB2312" w:cs="Times New Roman"/>
          <w:color w:val="000000"/>
          <w:sz w:val="32"/>
          <w:szCs w:val="32"/>
        </w:rPr>
        <w:t>“</w:t>
      </w:r>
      <w:r>
        <w:rPr>
          <w:rFonts w:hint="eastAsia" w:ascii="仿宋_GB2312" w:eastAsia="仿宋_GB2312" w:cs="仿宋_GB2312"/>
          <w:color w:val="000000"/>
          <w:sz w:val="32"/>
          <w:szCs w:val="32"/>
        </w:rPr>
        <w:t>其他收入</w:t>
      </w:r>
      <w:r>
        <w:rPr>
          <w:rFonts w:eastAsia="仿宋_GB2312" w:cs="Times New Roman"/>
          <w:color w:val="000000"/>
          <w:sz w:val="32"/>
          <w:szCs w:val="32"/>
        </w:rPr>
        <w:t>”</w:t>
      </w:r>
      <w:r>
        <w:rPr>
          <w:rFonts w:hint="eastAsia" w:ascii="仿宋_GB2312" w:eastAsia="仿宋_GB2312" w:cs="仿宋_GB2312"/>
          <w:color w:val="000000"/>
          <w:sz w:val="32"/>
          <w:szCs w:val="32"/>
        </w:rPr>
        <w:t>不足以安排当年支出的情况下，使用以前年度积累的事业基金（即事业单位当年收支相抵后按国家规定提取、用于弥补以后年度收支差额的基金）弥补本年度收支缺口的资金。</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（十三）上年结转和结余：指以前年度支出预算因客观条件变化未执行完毕、结转到本年度按有关规定继续使用的资金，既包括财政拨款结转和结余，也包括事业收入、经营收入、其他收入的结转和结余。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（十四）结余分配：反映单位当年结余的分配情况。</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五）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（十六）基本支出：指为保障机构正常运转、完成日常工作任务而发生的人员支出和公用支出。</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（十七）项目支出：指在基本支出之外为完成特定行政任务和事业发展目标所发生的支出。</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（十八）经营支出：指事业单位在专业业务活动及其辅助活动之外开展非独立核算经营活动发生的支出。</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（十九）对附属单位补助支出：指事业单位发生的用非财政预算资金对附属单位的补助支出。</w:t>
      </w:r>
    </w:p>
    <w:p>
      <w:pPr>
        <w:autoSpaceDE w:val="0"/>
        <w:autoSpaceDN w:val="0"/>
        <w:adjustRightInd w:val="0"/>
        <w:spacing w:line="560" w:lineRule="exact"/>
        <w:ind w:firstLine="640"/>
        <w:rPr>
          <w:rFonts w:eastAsia="仿宋_GB2312" w:cs="Times New Roman"/>
          <w:color w:val="000000"/>
          <w:sz w:val="32"/>
          <w:szCs w:val="32"/>
        </w:rPr>
      </w:pPr>
      <w:r>
        <w:rPr>
          <w:rFonts w:hint="eastAsia" w:ascii="仿宋_GB2312" w:eastAsia="仿宋_GB2312" w:cs="仿宋_GB2312"/>
          <w:color w:val="000000"/>
          <w:sz w:val="32"/>
          <w:szCs w:val="32"/>
        </w:rPr>
        <w:t>（二十）</w:t>
      </w:r>
      <w:r>
        <w:rPr>
          <w:rFonts w:eastAsia="仿宋_GB2312" w:cs="Times New Roman"/>
          <w:color w:val="000000"/>
          <w:sz w:val="32"/>
          <w:szCs w:val="32"/>
        </w:rPr>
        <w:t>“</w:t>
      </w:r>
      <w:r>
        <w:rPr>
          <w:rFonts w:hint="eastAsia" w:ascii="仿宋_GB2312" w:eastAsia="仿宋_GB2312" w:cs="仿宋_GB2312"/>
          <w:color w:val="000000"/>
          <w:sz w:val="32"/>
          <w:szCs w:val="32"/>
        </w:rPr>
        <w:t>三公</w:t>
      </w:r>
      <w:r>
        <w:rPr>
          <w:rFonts w:eastAsia="仿宋_GB2312" w:cs="Times New Roman"/>
          <w:color w:val="000000"/>
          <w:sz w:val="32"/>
          <w:szCs w:val="32"/>
        </w:rPr>
        <w:t>”</w:t>
      </w:r>
      <w:r>
        <w:rPr>
          <w:rFonts w:hint="eastAsia" w:ascii="仿宋_GB2312" w:eastAsia="仿宋_GB2312" w:cs="仿宋_GB2312"/>
          <w:color w:val="000000"/>
          <w:sz w:val="32"/>
          <w:szCs w:val="32"/>
        </w:rPr>
        <w:t>经费：纳入同级财政预决算管理的</w:t>
      </w:r>
      <w:r>
        <w:rPr>
          <w:rFonts w:eastAsia="仿宋_GB2312" w:cs="Times New Roman"/>
          <w:color w:val="000000"/>
          <w:sz w:val="32"/>
          <w:szCs w:val="32"/>
        </w:rPr>
        <w:t>“</w:t>
      </w:r>
      <w:r>
        <w:rPr>
          <w:rFonts w:hint="eastAsia" w:ascii="仿宋_GB2312" w:eastAsia="仿宋_GB2312" w:cs="仿宋_GB2312"/>
          <w:color w:val="000000"/>
          <w:sz w:val="32"/>
          <w:szCs w:val="32"/>
        </w:rPr>
        <w:t>三公</w:t>
      </w:r>
      <w:r>
        <w:rPr>
          <w:rFonts w:eastAsia="仿宋_GB2312" w:cs="Times New Roman"/>
          <w:color w:val="000000"/>
          <w:sz w:val="32"/>
          <w:szCs w:val="32"/>
        </w:rPr>
        <w:t>”</w:t>
      </w:r>
      <w:r>
        <w:rPr>
          <w:rFonts w:hint="eastAsia" w:ascii="仿宋_GB2312" w:eastAsia="仿宋_GB2312" w:cs="仿宋_GB2312"/>
          <w:color w:val="000000"/>
          <w:sz w:val="32"/>
          <w:szCs w:val="32"/>
        </w:rPr>
        <w:t>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spacing w:line="560" w:lineRule="exact"/>
        <w:ind w:firstLine="641"/>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p>
    <w:p>
      <w:pPr>
        <w:autoSpaceDE w:val="0"/>
        <w:autoSpaceDN w:val="0"/>
        <w:adjustRightInd w:val="0"/>
        <w:spacing w:line="56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其他费用。</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（二十二）一般公共支出——民族事务——民族专项工作：指用于民族事务管理方面的支出。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（二十三）教育支出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普通教育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高等教育：指经国家批准设立的中央和省、自治区、直辖市各部所属的全日制普通高等院校（包括研究生）的支出。政府各部门对社会中介组织等举办的各类高等院校的资助，如捐赠、补贴等，也在本科目中反映。</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（二十四）教育支出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普通教育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其他普通教育支出：指用于普通教育中的学前教育、小学教育、初中教育、高中教育、高等教育以外的其他用于普通教育方面的支出。</w:t>
      </w:r>
    </w:p>
    <w:p>
      <w:pPr>
        <w:autoSpaceDE w:val="0"/>
        <w:autoSpaceDN w:val="0"/>
        <w:adjustRightInd w:val="0"/>
        <w:spacing w:line="560" w:lineRule="exact"/>
        <w:ind w:firstLine="641"/>
        <w:rPr>
          <w:rFonts w:eastAsia="仿宋_GB2312" w:cs="Times New Roman"/>
          <w:color w:val="000000"/>
          <w:sz w:val="32"/>
          <w:szCs w:val="32"/>
        </w:rPr>
      </w:pPr>
      <w:r>
        <w:rPr>
          <w:rFonts w:hint="eastAsia" w:ascii="仿宋_GB2312" w:eastAsia="仿宋_GB2312" w:cs="仿宋_GB2312"/>
          <w:color w:val="000000"/>
          <w:sz w:val="32"/>
          <w:szCs w:val="32"/>
        </w:rPr>
        <w:t>（二十五）教育支出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职业教育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高等职业教育：指用于高等职业教育办学经费的各项投入，主要包括：学校维持正常运转所需开支的业务费、办公费、设备购置费、修缮费、基础设施建设费等方面的支出。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（二十六）教育支出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职业教育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中专教育：指用于中等职业教育办学经费的各项投入，主要包括：学校维持正常运转所需开支的业务费、办公费、设备购置费、修缮费、基础设施建设费等方面的支出。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（二十七）教育支出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职业教育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技校教育：指用于枝工学校教育办学经费的各项投入，主要包括：学校维持正常运转所需开支的业务费、办公费、设备购置费、修缮费、基础设施建设费等方面的支出。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（二十八）教育支出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教育附加安排支出——其他教育附加安排支出：指用其他教育附加安排的支出。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（二十九）教育支出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其他教育支出——其他教育支出：指用于上述教育项目以外其他用于教育方面的支出。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（三十）科学技术支出——应用研究——社会公益研究：指用于从事卫生、劳动保护、计划生育、环境科学、农业等社会公益专项科研方面的支出。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（三十一）农林水支出——扶贫——其他扶贫：指用于除扶贫项目以外的其他用于扶贫方面的支出。</w:t>
      </w:r>
    </w:p>
    <w:p>
      <w:pPr>
        <w:autoSpaceDE w:val="0"/>
        <w:autoSpaceDN w:val="0"/>
        <w:adjustRightInd w:val="0"/>
        <w:spacing w:line="560" w:lineRule="exact"/>
        <w:ind w:firstLine="641"/>
        <w:rPr>
          <w:rFonts w:ascii="仿宋_GB2312" w:eastAsia="仿宋_GB2312" w:cs="仿宋_GB2312"/>
          <w:color w:val="000000"/>
          <w:sz w:val="32"/>
          <w:szCs w:val="32"/>
        </w:rPr>
      </w:pPr>
      <w:r>
        <w:rPr>
          <w:rFonts w:hint="eastAsia" w:ascii="仿宋_GB2312" w:eastAsia="仿宋_GB2312" w:cs="仿宋_GB2312"/>
          <w:color w:val="000000"/>
          <w:sz w:val="32"/>
          <w:szCs w:val="32"/>
        </w:rPr>
        <w:t>（三十二）住房保障支出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住房改革支</w:t>
      </w:r>
      <w:r>
        <w:rPr>
          <w:rFonts w:ascii="仿宋_GB2312" w:eastAsia="仿宋_GB2312" w:cs="仿宋_GB2312"/>
          <w:color w:val="000000"/>
          <w:sz w:val="32"/>
          <w:szCs w:val="32"/>
        </w:rPr>
        <w:t>——</w:t>
      </w:r>
      <w:r>
        <w:rPr>
          <w:rFonts w:hint="eastAsia" w:ascii="仿宋_GB2312" w:eastAsia="仿宋_GB2312" w:cs="仿宋_GB2312"/>
          <w:color w:val="000000"/>
          <w:sz w:val="32"/>
          <w:szCs w:val="32"/>
        </w:rPr>
        <w:t>住房公积金：指国家机关、国有企业、城镇集体企业、外商投资企业、城镇私营企业及其他城镇企业、事业单位及其在职职工缴存的长期住房储金。工个人缴存的住房公积金以及单位为其缴存的住房公积金，实行专户存储，归职工个人所有。</w:t>
      </w:r>
    </w:p>
    <w:p>
      <w:pPr>
        <w:autoSpaceDE w:val="0"/>
        <w:autoSpaceDN w:val="0"/>
        <w:adjustRightInd w:val="0"/>
        <w:spacing w:line="560" w:lineRule="exact"/>
        <w:ind w:firstLine="641"/>
        <w:rPr>
          <w:rFonts w:ascii="仿宋_GB2312" w:eastAsia="仿宋_GB2312" w:cs="仿宋_GB2312"/>
          <w:color w:val="000000"/>
          <w:sz w:val="32"/>
          <w:szCs w:val="32"/>
        </w:rPr>
      </w:pPr>
      <w:bookmarkStart w:id="5" w:name="_GoBack"/>
      <w:bookmarkEnd w:id="5"/>
    </w:p>
    <w:p>
      <w:pPr>
        <w:autoSpaceDE w:val="0"/>
        <w:autoSpaceDN w:val="0"/>
        <w:adjustRightInd w:val="0"/>
        <w:spacing w:line="560" w:lineRule="exact"/>
        <w:ind w:firstLine="640"/>
        <w:rPr>
          <w:rFonts w:ascii="仿宋_GB2312" w:eastAsia="仿宋_GB2312" w:cs="仿宋_GB2312"/>
          <w:color w:val="000000"/>
          <w:sz w:val="32"/>
          <w:szCs w:val="32"/>
        </w:rPr>
      </w:pPr>
    </w:p>
    <w:p>
      <w:pPr>
        <w:autoSpaceDE w:val="0"/>
        <w:autoSpaceDN w:val="0"/>
        <w:adjustRightInd w:val="0"/>
        <w:spacing w:line="560" w:lineRule="exact"/>
        <w:ind w:firstLine="640"/>
        <w:rPr>
          <w:rFonts w:ascii="仿宋_GB2312" w:eastAsia="仿宋_GB2312" w:cs="仿宋_GB2312"/>
          <w:color w:val="000000"/>
          <w:sz w:val="32"/>
          <w:szCs w:val="32"/>
        </w:rPr>
      </w:pPr>
    </w:p>
    <w:p>
      <w:pPr>
        <w:autoSpaceDE w:val="0"/>
        <w:autoSpaceDN w:val="0"/>
        <w:adjustRightInd w:val="0"/>
        <w:spacing w:line="560" w:lineRule="exact"/>
        <w:ind w:firstLine="5440" w:firstLineChars="1700"/>
        <w:rPr>
          <w:rFonts w:ascii="仿宋_GB2312" w:eastAsia="仿宋_GB2312" w:cs="仿宋_GB2312"/>
          <w:color w:val="000000"/>
          <w:sz w:val="32"/>
          <w:szCs w:val="32"/>
        </w:rPr>
      </w:pPr>
      <w:r>
        <w:rPr>
          <w:rFonts w:hint="eastAsia" w:ascii="仿宋_GB2312" w:eastAsia="仿宋_GB2312" w:cs="仿宋_GB2312"/>
          <w:color w:val="000000"/>
          <w:sz w:val="32"/>
          <w:szCs w:val="32"/>
        </w:rPr>
        <w:t>铜仁职业技术学院</w:t>
      </w:r>
    </w:p>
    <w:p>
      <w:pPr>
        <w:autoSpaceDE w:val="0"/>
        <w:autoSpaceDN w:val="0"/>
        <w:adjustRightInd w:val="0"/>
        <w:spacing w:line="560" w:lineRule="exact"/>
        <w:ind w:firstLine="5600" w:firstLineChars="1750"/>
        <w:jc w:val="left"/>
        <w:rPr>
          <w:rFonts w:ascii="黑体" w:hAnsi="Times New Roman" w:eastAsia="黑体" w:cs="黑体"/>
          <w:spacing w:val="15"/>
          <w:sz w:val="44"/>
          <w:szCs w:val="44"/>
        </w:rPr>
      </w:pPr>
      <w:r>
        <w:rPr>
          <w:rFonts w:ascii="仿宋_GB2312" w:eastAsia="仿宋_GB2312" w:cs="仿宋_GB2312"/>
          <w:color w:val="000000"/>
          <w:sz w:val="32"/>
          <w:szCs w:val="32"/>
        </w:rPr>
        <w:t>2017</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22</w:t>
      </w:r>
      <w:r>
        <w:rPr>
          <w:rFonts w:hint="eastAsia" w:ascii="仿宋_GB2312" w:eastAsia="仿宋_GB2312" w:cs="仿宋_GB2312"/>
          <w:color w:val="000000"/>
          <w:sz w:val="32"/>
          <w:szCs w:val="32"/>
        </w:rPr>
        <w:t>日</w:t>
      </w: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Times New Roman" w:cs="Calibri"/>
      </w:rPr>
    </w:pPr>
    <w:r>
      <w:pict>
        <v:group id="_x0000_s4097" o:spid="_x0000_s4097" o:spt="203" style="position:absolute;left:0pt;margin-left:25.8pt;margin-top:159.15pt;height:18.7pt;width:38.45pt;mso-position-horizontal-relative:page;mso-position-vertical-relative:page;z-index:251660288;mso-width-relative:page;mso-height-relative:page;" coordorigin="689,3255" coordsize="769,374203" o:allowincell="f">
          <o:lock v:ext="edit"/>
          <v:shape id="_x0000_s4098" o:spid="_x0000_s4098" o:spt="202" type="#_x0000_t202" style="position:absolute;left:689;top:3263;height:360;width:769;v-text-anchor:middle;" filled="f" stroked="f" coordsize="21600,21600">
            <v:path/>
            <v:fill on="f" focussize="0,0"/>
            <v:stroke on="f" joinstyle="miter"/>
            <v:imagedata o:title=""/>
            <o:lock v:ext="edit"/>
            <v:textbox inset="0mm,0mm,0mm,0mm">
              <w:txbxContent>
                <w:p>
                  <w:pPr>
                    <w:pStyle w:val="3"/>
                  </w:pPr>
                  <w:r>
                    <w:fldChar w:fldCharType="begin"/>
                  </w:r>
                  <w:r>
                    <w:instrText xml:space="preserve"> PAGE    \* MERGEFORMAT </w:instrText>
                  </w:r>
                  <w:r>
                    <w:fldChar w:fldCharType="separate"/>
                  </w:r>
                  <w:r>
                    <w:rPr>
                      <w:rStyle w:val="5"/>
                      <w:b/>
                      <w:color w:val="3F3151"/>
                      <w:sz w:val="16"/>
                      <w:szCs w:val="16"/>
                      <w:lang w:val="zh-CN"/>
                    </w:rPr>
                    <w:t>1</w:t>
                  </w:r>
                  <w:r>
                    <w:rPr>
                      <w:rStyle w:val="5"/>
                      <w:b/>
                      <w:color w:val="3F3151"/>
                      <w:sz w:val="16"/>
                      <w:szCs w:val="16"/>
                      <w:lang w:val="zh-CN"/>
                    </w:rPr>
                    <w:fldChar w:fldCharType="end"/>
                  </w:r>
                </w:p>
              </w:txbxContent>
            </v:textbox>
          </v:shape>
          <v:group id="_x0000_s4099" o:spid="_x0000_s4099" o:spt="203" style="position:absolute;left:886;top:3255;height:374;width:374;" coordorigin="1453,14832" coordsize="374,374203">
            <o:lock v:ext="edit"/>
            <v:shape id="_x0000_s4100" o:spid="_x0000_s4100" o:spt="3" type="#_x0000_t3" style="position:absolute;left:1453;top:14832;height:374;width:374;" filled="f" stroked="t" coordsize="21600,21600">
              <v:path/>
              <v:fill on="f" focussize="0,0"/>
              <v:stroke weight="0.5pt" color="#7BA0CD"/>
              <v:imagedata o:title=""/>
              <o:lock v:ext="edit"/>
            </v:shape>
            <v:shape id="_x0000_s4101" o:spid="_x0000_s4101" o:spt="3" type="#_x0000_t3" style="position:absolute;left:1462;top:14835;height:101;width:101;" fillcolor="#7BA0CD" filled="t" stroked="f" coordsize="21600,21600">
              <v:path/>
              <v:fill on="t" focussize="0,0"/>
              <v:stroke on="f"/>
              <v:imagedata o:title=""/>
              <o:lock v:ext="edit"/>
            </v:shape>
          </v:group>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44E"/>
    <w:rsid w:val="00046342"/>
    <w:rsid w:val="00056D0B"/>
    <w:rsid w:val="000A4363"/>
    <w:rsid w:val="000C03FF"/>
    <w:rsid w:val="000E6C64"/>
    <w:rsid w:val="000F7284"/>
    <w:rsid w:val="0015618B"/>
    <w:rsid w:val="0018533C"/>
    <w:rsid w:val="0019651F"/>
    <w:rsid w:val="001A1B80"/>
    <w:rsid w:val="001F4F4E"/>
    <w:rsid w:val="002263D8"/>
    <w:rsid w:val="00271E0A"/>
    <w:rsid w:val="00312CBE"/>
    <w:rsid w:val="00324657"/>
    <w:rsid w:val="0037754B"/>
    <w:rsid w:val="003961DC"/>
    <w:rsid w:val="003A7191"/>
    <w:rsid w:val="00467DC0"/>
    <w:rsid w:val="004769B0"/>
    <w:rsid w:val="00493345"/>
    <w:rsid w:val="004F364F"/>
    <w:rsid w:val="0054297C"/>
    <w:rsid w:val="00574374"/>
    <w:rsid w:val="0057626A"/>
    <w:rsid w:val="005C3C2A"/>
    <w:rsid w:val="00637681"/>
    <w:rsid w:val="00657734"/>
    <w:rsid w:val="00704840"/>
    <w:rsid w:val="007706CC"/>
    <w:rsid w:val="007E7E11"/>
    <w:rsid w:val="008063FC"/>
    <w:rsid w:val="00823257"/>
    <w:rsid w:val="008732E5"/>
    <w:rsid w:val="00887C47"/>
    <w:rsid w:val="0089408A"/>
    <w:rsid w:val="009652CE"/>
    <w:rsid w:val="009A6A05"/>
    <w:rsid w:val="009E651E"/>
    <w:rsid w:val="00A12F68"/>
    <w:rsid w:val="00A26F89"/>
    <w:rsid w:val="00AB2D2A"/>
    <w:rsid w:val="00B070CE"/>
    <w:rsid w:val="00B14D80"/>
    <w:rsid w:val="00B473D4"/>
    <w:rsid w:val="00B636A5"/>
    <w:rsid w:val="00BA363D"/>
    <w:rsid w:val="00C20F4F"/>
    <w:rsid w:val="00C729C1"/>
    <w:rsid w:val="00C776C3"/>
    <w:rsid w:val="00CA6B76"/>
    <w:rsid w:val="00CE7EAF"/>
    <w:rsid w:val="00D70E3A"/>
    <w:rsid w:val="00D75B7C"/>
    <w:rsid w:val="00E7579D"/>
    <w:rsid w:val="00EA198D"/>
    <w:rsid w:val="00EC45EA"/>
    <w:rsid w:val="00ED19B7"/>
    <w:rsid w:val="00EE144E"/>
    <w:rsid w:val="00F84CF8"/>
    <w:rsid w:val="00FC3195"/>
    <w:rsid w:val="00FE12CD"/>
    <w:rsid w:val="125024D0"/>
    <w:rsid w:val="32E728DD"/>
    <w:rsid w:val="463C0850"/>
    <w:rsid w:val="67515D86"/>
    <w:rsid w:val="78D9370A"/>
    <w:rsid w:val="7AD059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styleId="5">
    <w:name w:val="page number"/>
    <w:basedOn w:val="4"/>
    <w:qFormat/>
    <w:uiPriority w:val="99"/>
    <w:rPr>
      <w:rFonts w:eastAsia="宋体" w:cs="Times New Roman"/>
      <w:sz w:val="22"/>
      <w:szCs w:val="22"/>
      <w:lang w:eastAsia="zh-CN"/>
    </w:rPr>
  </w:style>
  <w:style w:type="character" w:customStyle="1" w:styleId="7">
    <w:name w:val="Footer Char"/>
    <w:locked/>
    <w:uiPriority w:val="99"/>
    <w:rPr>
      <w:sz w:val="18"/>
    </w:rPr>
  </w:style>
  <w:style w:type="character" w:customStyle="1" w:styleId="8">
    <w:name w:val="Header Char"/>
    <w:qFormat/>
    <w:locked/>
    <w:uiPriority w:val="99"/>
    <w:rPr>
      <w:sz w:val="18"/>
    </w:rPr>
  </w:style>
  <w:style w:type="character" w:customStyle="1" w:styleId="9">
    <w:name w:val="Footer Char1"/>
    <w:basedOn w:val="4"/>
    <w:link w:val="2"/>
    <w:semiHidden/>
    <w:qFormat/>
    <w:locked/>
    <w:uiPriority w:val="99"/>
    <w:rPr>
      <w:rFonts w:ascii="Calibri" w:hAnsi="Calibri" w:cs="宋体"/>
      <w:sz w:val="18"/>
      <w:szCs w:val="18"/>
    </w:rPr>
  </w:style>
  <w:style w:type="character" w:customStyle="1" w:styleId="10">
    <w:name w:val="页脚 Char"/>
    <w:basedOn w:val="4"/>
    <w:link w:val="2"/>
    <w:semiHidden/>
    <w:qFormat/>
    <w:locked/>
    <w:uiPriority w:val="99"/>
    <w:rPr>
      <w:rFonts w:ascii="Calibri" w:hAnsi="Calibri" w:cs="宋体"/>
      <w:sz w:val="18"/>
      <w:szCs w:val="18"/>
    </w:rPr>
  </w:style>
  <w:style w:type="character" w:customStyle="1" w:styleId="11">
    <w:name w:val="Header Char1"/>
    <w:basedOn w:val="4"/>
    <w:link w:val="3"/>
    <w:semiHidden/>
    <w:qFormat/>
    <w:locked/>
    <w:uiPriority w:val="99"/>
    <w:rPr>
      <w:rFonts w:ascii="Calibri" w:hAnsi="Calibri" w:cs="宋体"/>
      <w:sz w:val="18"/>
      <w:szCs w:val="18"/>
    </w:rPr>
  </w:style>
  <w:style w:type="character" w:customStyle="1" w:styleId="12">
    <w:name w:val="页眉 Char"/>
    <w:basedOn w:val="4"/>
    <w:link w:val="3"/>
    <w:semiHidden/>
    <w:qFormat/>
    <w:locked/>
    <w:uiPriority w:val="99"/>
    <w:rPr>
      <w:rFonts w:ascii="Calibri" w:hAnsi="Calibri" w:cs="宋体"/>
      <w:sz w:val="18"/>
      <w:szCs w:val="18"/>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0"/>
    <customShpInfo spid="_x0000_s4101"/>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5573</Words>
  <Characters>1238</Characters>
  <Lines>10</Lines>
  <Paragraphs>13</Paragraphs>
  <TotalTime>0</TotalTime>
  <ScaleCrop>false</ScaleCrop>
  <LinksUpToDate>false</LinksUpToDate>
  <CharactersWithSpaces>6798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2017-07-25T02:57:00Z</dcterms:created>
  <dc:creator>Administrator</dc:creator>
  <cp:lastModifiedBy>Administrator</cp:lastModifiedBy>
  <cp:lastPrinted>2017-07-25T03:48:00Z</cp:lastPrinted>
  <dcterms:modified xsi:type="dcterms:W3CDTF">2017-07-26T08:52:30Z</dcterms:modified>
  <dc:title>铜仁职业技术学院2016年度部门决算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